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5B0" w:rsidRPr="009C718A" w:rsidRDefault="008475B0" w:rsidP="00EE4B30">
      <w:pPr>
        <w:tabs>
          <w:tab w:val="center" w:pos="4536"/>
          <w:tab w:val="right" w:pos="8280"/>
          <w:tab w:val="right" w:pos="9781"/>
        </w:tabs>
        <w:spacing w:after="0"/>
        <w:ind w:right="-58"/>
        <w:jc w:val="both"/>
        <w:rPr>
          <w:rFonts w:ascii="Arial" w:eastAsia="MS Mincho" w:hAnsi="Arial" w:cs="Arial"/>
          <w:b/>
          <w:bCs/>
          <w:sz w:val="24"/>
          <w:szCs w:val="24"/>
          <w:lang w:eastAsia="ja-JP"/>
        </w:rPr>
      </w:pPr>
      <w:r w:rsidRPr="009C718A">
        <w:rPr>
          <w:rFonts w:ascii="Arial" w:hAnsi="Arial" w:cs="Arial"/>
          <w:b/>
          <w:bCs/>
          <w:sz w:val="24"/>
          <w:szCs w:val="24"/>
        </w:rPr>
        <w:t xml:space="preserve">3GPP TSG RAN WG1 Meeting </w:t>
      </w:r>
      <w:r w:rsidR="00836958">
        <w:rPr>
          <w:rFonts w:ascii="Arial" w:hAnsi="Arial" w:cs="Arial"/>
          <w:b/>
          <w:bCs/>
          <w:sz w:val="24"/>
          <w:szCs w:val="24"/>
        </w:rPr>
        <w:t>NR</w:t>
      </w:r>
      <w:r w:rsidR="00F01ABB">
        <w:rPr>
          <w:rFonts w:ascii="Arial" w:hAnsi="Arial" w:cs="Arial"/>
          <w:b/>
          <w:bCs/>
          <w:sz w:val="24"/>
          <w:szCs w:val="24"/>
        </w:rPr>
        <w:t xml:space="preserve"> #3</w:t>
      </w:r>
      <w:r>
        <w:rPr>
          <w:rFonts w:ascii="Arial" w:hAnsi="Arial" w:cs="Arial"/>
          <w:b/>
          <w:bCs/>
          <w:sz w:val="24"/>
          <w:szCs w:val="24"/>
        </w:rPr>
        <w:t xml:space="preserve">               </w:t>
      </w:r>
      <w:r>
        <w:rPr>
          <w:rFonts w:ascii="Arial" w:hAnsi="Arial" w:cs="Arial"/>
          <w:b/>
          <w:bCs/>
          <w:sz w:val="24"/>
          <w:szCs w:val="24"/>
        </w:rPr>
        <w:tab/>
      </w:r>
      <w:r w:rsidRPr="009C718A">
        <w:rPr>
          <w:rFonts w:ascii="Arial" w:hAnsi="Arial" w:cs="Arial"/>
          <w:b/>
          <w:bCs/>
          <w:sz w:val="24"/>
          <w:szCs w:val="24"/>
        </w:rPr>
        <w:tab/>
        <w:t>R1-</w:t>
      </w:r>
      <w:r w:rsidRPr="00DB2AF1">
        <w:t xml:space="preserve"> </w:t>
      </w:r>
      <w:r w:rsidR="00EE4B30" w:rsidRPr="00EE4B30">
        <w:rPr>
          <w:rFonts w:ascii="Arial" w:hAnsi="Arial" w:cs="Arial"/>
          <w:b/>
          <w:bCs/>
          <w:sz w:val="24"/>
          <w:szCs w:val="24"/>
        </w:rPr>
        <w:t>1716329</w:t>
      </w:r>
    </w:p>
    <w:p w:rsidR="008475B0" w:rsidRPr="009C718A" w:rsidRDefault="00F01ABB" w:rsidP="00807FDA">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Nagoya</w:t>
      </w:r>
      <w:r w:rsidR="008475B0">
        <w:rPr>
          <w:rFonts w:ascii="Arial" w:eastAsia="MS Mincho" w:hAnsi="Arial" w:cs="Arial"/>
          <w:b/>
          <w:bCs/>
          <w:sz w:val="24"/>
          <w:szCs w:val="24"/>
          <w:lang w:eastAsia="ja-JP"/>
        </w:rPr>
        <w:t xml:space="preserve">, </w:t>
      </w:r>
      <w:r>
        <w:rPr>
          <w:rFonts w:ascii="Arial" w:eastAsia="MS Mincho" w:hAnsi="Arial" w:cs="Arial"/>
          <w:b/>
          <w:bCs/>
          <w:sz w:val="24"/>
          <w:szCs w:val="24"/>
          <w:lang w:eastAsia="ja-JP"/>
        </w:rPr>
        <w:t>Japan</w:t>
      </w:r>
      <w:r w:rsidR="008475B0" w:rsidRPr="00022D29">
        <w:rPr>
          <w:rFonts w:ascii="Arial" w:eastAsia="MS Mincho" w:hAnsi="Arial" w:cs="Arial"/>
          <w:b/>
          <w:bCs/>
          <w:sz w:val="24"/>
          <w:szCs w:val="24"/>
          <w:lang w:eastAsia="ja-JP"/>
        </w:rPr>
        <w:t xml:space="preserve">, </w:t>
      </w:r>
      <w:r>
        <w:rPr>
          <w:rFonts w:ascii="Arial" w:eastAsia="MS Mincho" w:hAnsi="Arial" w:cs="Arial"/>
          <w:b/>
          <w:bCs/>
          <w:sz w:val="24"/>
          <w:szCs w:val="24"/>
          <w:lang w:eastAsia="ja-JP"/>
        </w:rPr>
        <w:t>18</w:t>
      </w:r>
      <w:r w:rsidRPr="00CC0E0E">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w:t>
      </w:r>
      <w:r w:rsidR="00836958">
        <w:rPr>
          <w:rFonts w:ascii="Arial" w:eastAsia="MS Mincho" w:hAnsi="Arial" w:cs="Arial"/>
          <w:b/>
          <w:bCs/>
          <w:sz w:val="24"/>
          <w:szCs w:val="24"/>
          <w:lang w:eastAsia="ja-JP"/>
        </w:rPr>
        <w:t>1</w:t>
      </w:r>
      <w:r w:rsidR="00836958" w:rsidRPr="00836958">
        <w:rPr>
          <w:rFonts w:ascii="Arial" w:eastAsia="MS Mincho" w:hAnsi="Arial" w:cs="Arial"/>
          <w:b/>
          <w:bCs/>
          <w:sz w:val="24"/>
          <w:szCs w:val="24"/>
          <w:vertAlign w:val="superscript"/>
          <w:lang w:eastAsia="ja-JP"/>
        </w:rPr>
        <w:t>st</w:t>
      </w:r>
      <w:r w:rsidR="008475B0" w:rsidRPr="00022D29">
        <w:rPr>
          <w:rFonts w:ascii="Arial" w:eastAsia="MS Mincho" w:hAnsi="Arial" w:cs="Arial"/>
          <w:b/>
          <w:bCs/>
          <w:sz w:val="24"/>
          <w:szCs w:val="24"/>
          <w:lang w:eastAsia="ja-JP"/>
        </w:rPr>
        <w:t xml:space="preserve"> </w:t>
      </w:r>
      <w:r>
        <w:rPr>
          <w:rFonts w:ascii="Arial" w:eastAsia="MS Mincho" w:hAnsi="Arial" w:cs="Arial"/>
          <w:b/>
          <w:bCs/>
          <w:sz w:val="24"/>
          <w:szCs w:val="24"/>
          <w:lang w:eastAsia="ja-JP"/>
        </w:rPr>
        <w:t>Sep</w:t>
      </w:r>
      <w:r w:rsidR="008475B0" w:rsidRPr="00022D29">
        <w:rPr>
          <w:rFonts w:ascii="Arial" w:eastAsia="MS Mincho" w:hAnsi="Arial" w:cs="Arial"/>
          <w:b/>
          <w:bCs/>
          <w:sz w:val="24"/>
          <w:szCs w:val="24"/>
          <w:lang w:eastAsia="ja-JP"/>
        </w:rPr>
        <w:t xml:space="preserve"> 2017</w:t>
      </w:r>
      <w:r w:rsidR="008475B0">
        <w:rPr>
          <w:rFonts w:ascii="Arial" w:eastAsia="MS Mincho" w:hAnsi="Arial" w:cs="Arial"/>
          <w:b/>
          <w:bCs/>
          <w:lang w:eastAsia="ja-JP"/>
        </w:rPr>
        <w:t xml:space="preserve"> </w:t>
      </w:r>
    </w:p>
    <w:p w:rsidR="008475B0" w:rsidRPr="009C718A" w:rsidRDefault="008475B0" w:rsidP="00807FDA">
      <w:pPr>
        <w:tabs>
          <w:tab w:val="left" w:pos="1701"/>
          <w:tab w:val="right" w:pos="9072"/>
          <w:tab w:val="right" w:pos="10206"/>
        </w:tabs>
        <w:spacing w:after="80"/>
        <w:jc w:val="both"/>
        <w:rPr>
          <w:rFonts w:ascii="Arial" w:hAnsi="Arial"/>
          <w:b/>
          <w:sz w:val="24"/>
          <w:szCs w:val="24"/>
        </w:rPr>
      </w:pPr>
      <w:r>
        <w:rPr>
          <w:rFonts w:ascii="Arial" w:hAnsi="Arial"/>
          <w:b/>
          <w:sz w:val="24"/>
          <w:szCs w:val="24"/>
        </w:rPr>
        <w:t>Agenda Item:</w:t>
      </w:r>
      <w:r>
        <w:rPr>
          <w:rFonts w:ascii="Arial" w:hAnsi="Arial"/>
          <w:b/>
          <w:sz w:val="24"/>
          <w:szCs w:val="24"/>
        </w:rPr>
        <w:tab/>
      </w:r>
      <w:r w:rsidR="00F01ABB" w:rsidRPr="00F01ABB">
        <w:rPr>
          <w:rFonts w:ascii="Arial" w:hAnsi="Arial"/>
          <w:b/>
          <w:sz w:val="24"/>
          <w:szCs w:val="24"/>
        </w:rPr>
        <w:t>6.4.1.2</w:t>
      </w:r>
    </w:p>
    <w:p w:rsidR="008475B0" w:rsidRPr="009C718A" w:rsidRDefault="008475B0" w:rsidP="00807FDA">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8475B0" w:rsidRPr="009C718A" w:rsidRDefault="008475B0" w:rsidP="00807FDA">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sidR="00F01ABB" w:rsidRPr="00F01ABB">
        <w:rPr>
          <w:rFonts w:ascii="Arial" w:hAnsi="Arial"/>
          <w:b/>
          <w:sz w:val="24"/>
          <w:szCs w:val="24"/>
        </w:rPr>
        <w:t>Finalization of remaining details of rate-matching</w:t>
      </w:r>
    </w:p>
    <w:p w:rsidR="008475B0" w:rsidRPr="009C718A" w:rsidRDefault="008475B0" w:rsidP="00807FDA">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8475B0" w:rsidRPr="002B5BBB" w:rsidRDefault="008475B0" w:rsidP="00807FDA">
      <w:pPr>
        <w:pStyle w:val="Heading1"/>
        <w:numPr>
          <w:ilvl w:val="0"/>
          <w:numId w:val="1"/>
        </w:numPr>
        <w:ind w:left="360"/>
        <w:jc w:val="both"/>
        <w:textAlignment w:val="auto"/>
        <w:rPr>
          <w:sz w:val="32"/>
        </w:rPr>
      </w:pPr>
      <w:r w:rsidRPr="002B5BBB">
        <w:rPr>
          <w:sz w:val="32"/>
        </w:rPr>
        <w:t>Introduction</w:t>
      </w:r>
    </w:p>
    <w:p w:rsidR="008475B0" w:rsidRDefault="00807FDA" w:rsidP="00807FDA">
      <w:pPr>
        <w:jc w:val="both"/>
      </w:pPr>
      <w:r>
        <w:t>In RAN1 #90</w:t>
      </w:r>
      <w:r w:rsidR="008475B0">
        <w:t>, the following agreement was made with respect to</w:t>
      </w:r>
      <w:r>
        <w:t xml:space="preserve"> the</w:t>
      </w:r>
      <w:r w:rsidR="008475B0">
        <w:t xml:space="preserve"> rate-matching. </w:t>
      </w:r>
    </w:p>
    <w:p w:rsidR="00807FDA" w:rsidRPr="00EC10E7" w:rsidRDefault="00807FDA" w:rsidP="00807FDA">
      <w:pPr>
        <w:jc w:val="both"/>
        <w:rPr>
          <w:rFonts w:eastAsia="MS Mincho"/>
          <w:b/>
          <w:highlight w:val="green"/>
          <w:u w:val="single"/>
          <w:lang w:eastAsia="ja-JP"/>
        </w:rPr>
      </w:pPr>
      <w:r w:rsidRPr="00EC10E7">
        <w:rPr>
          <w:rFonts w:eastAsia="MS Mincho"/>
          <w:b/>
          <w:highlight w:val="green"/>
          <w:u w:val="single"/>
          <w:lang w:eastAsia="ja-JP"/>
        </w:rPr>
        <w:t>Agreement</w:t>
      </w:r>
      <w:r>
        <w:rPr>
          <w:rFonts w:eastAsia="MS Mincho"/>
          <w:b/>
          <w:highlight w:val="green"/>
          <w:u w:val="single"/>
          <w:lang w:eastAsia="ja-JP"/>
        </w:rPr>
        <w:t>s</w:t>
      </w:r>
      <w:r w:rsidRPr="00EC10E7">
        <w:rPr>
          <w:rFonts w:eastAsia="MS Mincho"/>
          <w:b/>
          <w:highlight w:val="green"/>
          <w:u w:val="single"/>
          <w:lang w:eastAsia="ja-JP"/>
        </w:rPr>
        <w:t xml:space="preserve">: </w:t>
      </w:r>
    </w:p>
    <w:p w:rsidR="00807FDA" w:rsidRDefault="00807FDA" w:rsidP="00807FDA">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Confirm the Working Assumption that the punctured systematic bits are not entered into the circular buffer</w:t>
      </w:r>
    </w:p>
    <w:p w:rsidR="00807FDA" w:rsidRDefault="00807FDA" w:rsidP="00807FDA">
      <w:pPr>
        <w:numPr>
          <w:ilvl w:val="0"/>
          <w:numId w:val="5"/>
        </w:numPr>
        <w:overflowPunct/>
        <w:autoSpaceDE/>
        <w:autoSpaceDN/>
        <w:adjustRightInd/>
        <w:spacing w:after="0"/>
        <w:jc w:val="both"/>
        <w:textAlignment w:val="auto"/>
        <w:rPr>
          <w:rFonts w:eastAsia="MS Mincho"/>
          <w:lang w:eastAsia="ja-JP"/>
        </w:rPr>
      </w:pPr>
      <w:r w:rsidRPr="0073537B">
        <w:rPr>
          <w:rFonts w:eastAsia="MS Mincho"/>
          <w:lang w:eastAsia="ja-JP"/>
        </w:rPr>
        <w:t>Filler bits are entered into the circular buffer.</w:t>
      </w:r>
    </w:p>
    <w:p w:rsidR="00807FDA" w:rsidRPr="0019433A" w:rsidRDefault="00807FDA" w:rsidP="00807FDA">
      <w:pPr>
        <w:numPr>
          <w:ilvl w:val="0"/>
          <w:numId w:val="5"/>
        </w:numPr>
        <w:overflowPunct/>
        <w:autoSpaceDE/>
        <w:autoSpaceDN/>
        <w:adjustRightInd/>
        <w:spacing w:after="0"/>
        <w:jc w:val="both"/>
        <w:textAlignment w:val="auto"/>
        <w:rPr>
          <w:rFonts w:eastAsia="MS Mincho"/>
          <w:lang w:eastAsia="ja-JP"/>
        </w:rPr>
      </w:pPr>
      <w:r w:rsidRPr="0019433A">
        <w:rPr>
          <w:rFonts w:eastAsia="MS Mincho"/>
          <w:lang w:eastAsia="ja-JP"/>
        </w:rPr>
        <w:t>The start</w:t>
      </w:r>
      <w:r>
        <w:rPr>
          <w:rFonts w:eastAsia="MS Mincho"/>
          <w:lang w:eastAsia="ja-JP"/>
        </w:rPr>
        <w:t>ing</w:t>
      </w:r>
      <w:r w:rsidRPr="0019433A">
        <w:rPr>
          <w:rFonts w:eastAsia="MS Mincho"/>
          <w:lang w:eastAsia="ja-JP"/>
        </w:rPr>
        <w:t xml:space="preserve"> position of each RV </w:t>
      </w:r>
      <w:r>
        <w:rPr>
          <w:rFonts w:eastAsia="MS Mincho"/>
          <w:lang w:eastAsia="ja-JP"/>
        </w:rPr>
        <w:t>is</w:t>
      </w:r>
      <w:r w:rsidRPr="0019433A">
        <w:rPr>
          <w:rFonts w:eastAsia="MS Mincho"/>
          <w:lang w:eastAsia="ja-JP"/>
        </w:rPr>
        <w:t xml:space="preserve"> </w:t>
      </w:r>
      <w:r>
        <w:rPr>
          <w:rFonts w:eastAsia="MS Mincho"/>
          <w:lang w:eastAsia="ja-JP"/>
        </w:rPr>
        <w:t>an integer multiple of Z</w:t>
      </w:r>
      <w:r w:rsidRPr="0019433A">
        <w:rPr>
          <w:rFonts w:eastAsia="MS Mincho"/>
          <w:lang w:eastAsia="ja-JP"/>
        </w:rPr>
        <w:t>.</w:t>
      </w:r>
    </w:p>
    <w:p w:rsidR="00807FDA" w:rsidRDefault="00807FDA" w:rsidP="00807FDA">
      <w:pPr>
        <w:numPr>
          <w:ilvl w:val="0"/>
          <w:numId w:val="5"/>
        </w:numPr>
        <w:overflowPunct/>
        <w:autoSpaceDE/>
        <w:autoSpaceDN/>
        <w:adjustRightInd/>
        <w:spacing w:after="0"/>
        <w:jc w:val="both"/>
        <w:textAlignment w:val="auto"/>
        <w:rPr>
          <w:rFonts w:eastAsia="MS Mincho"/>
          <w:lang w:eastAsia="ja-JP"/>
        </w:rPr>
      </w:pPr>
      <w:r w:rsidRPr="0019433A">
        <w:rPr>
          <w:rFonts w:eastAsia="MS Mincho"/>
          <w:lang w:eastAsia="ja-JP"/>
        </w:rPr>
        <w:t>The start</w:t>
      </w:r>
      <w:r>
        <w:rPr>
          <w:rFonts w:eastAsia="MS Mincho"/>
          <w:lang w:eastAsia="ja-JP"/>
        </w:rPr>
        <w:t>ing</w:t>
      </w:r>
      <w:r w:rsidRPr="0019433A">
        <w:rPr>
          <w:rFonts w:eastAsia="MS Mincho"/>
          <w:lang w:eastAsia="ja-JP"/>
        </w:rPr>
        <w:t xml:space="preserve"> positions of RVs for limited buffer should be </w:t>
      </w:r>
      <w:r>
        <w:rPr>
          <w:rFonts w:eastAsia="MS Mincho"/>
          <w:lang w:eastAsia="ja-JP"/>
        </w:rPr>
        <w:t xml:space="preserve">approximately </w:t>
      </w:r>
      <w:r w:rsidRPr="0019433A">
        <w:rPr>
          <w:rFonts w:eastAsia="MS Mincho"/>
          <w:lang w:eastAsia="ja-JP"/>
        </w:rPr>
        <w:t>scaled from the full buffer positions</w:t>
      </w:r>
      <w:r>
        <w:rPr>
          <w:rFonts w:eastAsia="MS Mincho"/>
          <w:lang w:eastAsia="ja-JP"/>
        </w:rPr>
        <w:t>, while remaining integer multiples of Z</w:t>
      </w:r>
      <w:r w:rsidRPr="0019433A">
        <w:rPr>
          <w:rFonts w:eastAsia="MS Mincho"/>
          <w:lang w:eastAsia="ja-JP"/>
        </w:rPr>
        <w:t>.</w:t>
      </w:r>
    </w:p>
    <w:p w:rsidR="00807FDA" w:rsidRPr="00416DCB" w:rsidRDefault="00807FDA" w:rsidP="00807FDA">
      <w:pPr>
        <w:jc w:val="both"/>
        <w:rPr>
          <w:rFonts w:eastAsia="MS Mincho"/>
          <w:b/>
          <w:u w:val="single"/>
          <w:lang w:eastAsia="ja-JP"/>
        </w:rPr>
      </w:pPr>
      <w:r w:rsidRPr="00416DCB">
        <w:rPr>
          <w:rFonts w:eastAsia="MS Mincho"/>
          <w:b/>
          <w:u w:val="single"/>
          <w:lang w:eastAsia="ja-JP"/>
        </w:rPr>
        <w:t xml:space="preserve">Next steps: </w:t>
      </w:r>
    </w:p>
    <w:p w:rsidR="00807FDA" w:rsidRDefault="00807FDA" w:rsidP="00807FDA">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Investigate until NR AH#3 whether non-uniform fixed starting positions for the RVs within the circular buffer can be found giving improved performance</w:t>
      </w:r>
    </w:p>
    <w:p w:rsidR="00807FDA" w:rsidRDefault="00807FDA" w:rsidP="00807FDA">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 xml:space="preserve">FFS until NR AH#3 whether a single reordering function (e.g. as shown in Fig 5 in </w:t>
      </w:r>
      <w:hyperlink r:id="rId7" w:history="1">
        <w:r>
          <w:rPr>
            <w:rStyle w:val="Hyperlink"/>
            <w:rFonts w:eastAsia="MS Mincho"/>
            <w:lang w:eastAsia="ja-JP"/>
          </w:rPr>
          <w:t>R1-1713462</w:t>
        </w:r>
      </w:hyperlink>
      <w:r>
        <w:rPr>
          <w:rFonts w:eastAsia="MS Mincho"/>
          <w:lang w:eastAsia="ja-JP"/>
        </w:rPr>
        <w:t xml:space="preserve">) should be supported for RVs greater than zero before the bit collection step, considering both performance and complexity. </w:t>
      </w:r>
    </w:p>
    <w:p w:rsidR="00807FDA" w:rsidRDefault="00807FDA" w:rsidP="00807FDA">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 xml:space="preserve">FFS: RV order for special cases where RV index is not explicitly </w:t>
      </w:r>
      <w:r w:rsidR="00741B72">
        <w:rPr>
          <w:rFonts w:eastAsia="MS Mincho"/>
          <w:lang w:eastAsia="ja-JP"/>
        </w:rPr>
        <w:t>signaled</w:t>
      </w:r>
      <w:r>
        <w:rPr>
          <w:rFonts w:eastAsia="MS Mincho"/>
          <w:lang w:eastAsia="ja-JP"/>
        </w:rPr>
        <w:t>.</w:t>
      </w:r>
    </w:p>
    <w:p w:rsidR="00807FDA" w:rsidRDefault="00807FDA" w:rsidP="00807FDA">
      <w:pPr>
        <w:jc w:val="both"/>
        <w:rPr>
          <w:rFonts w:eastAsia="MS Mincho"/>
          <w:lang w:eastAsia="ja-JP"/>
        </w:rPr>
      </w:pPr>
    </w:p>
    <w:p w:rsidR="008475B0" w:rsidRDefault="008475B0" w:rsidP="00807FDA">
      <w:pPr>
        <w:jc w:val="both"/>
      </w:pPr>
      <w:r>
        <w:rPr>
          <w:rFonts w:eastAsia="MS Mincho"/>
          <w:lang w:eastAsia="ja-JP"/>
        </w:rPr>
        <w:t xml:space="preserve"> </w:t>
      </w:r>
      <w:r w:rsidRPr="0041111E">
        <w:t xml:space="preserve">In this contribution, we discuss </w:t>
      </w:r>
      <w:r w:rsidR="00807FDA">
        <w:t xml:space="preserve">finalizing </w:t>
      </w:r>
      <w:r w:rsidRPr="0041111E">
        <w:t xml:space="preserve">aspects related to LDPC </w:t>
      </w:r>
      <w:r>
        <w:t>rate-matching</w:t>
      </w:r>
      <w:r w:rsidR="00B4263A">
        <w:t xml:space="preserve">, </w:t>
      </w:r>
      <w:proofErr w:type="spellStart"/>
      <w:r w:rsidR="00B4263A">
        <w:t>gNB</w:t>
      </w:r>
      <w:proofErr w:type="spellEnd"/>
      <w:r w:rsidR="00B4263A">
        <w:t xml:space="preserve"> transmit-buffer rate-matching,</w:t>
      </w:r>
      <w:r w:rsidR="00807FDA">
        <w:t xml:space="preserve"> and</w:t>
      </w:r>
      <w:r w:rsidRPr="0041111E">
        <w:t xml:space="preserve"> HARQ-redundancy version</w:t>
      </w:r>
      <w:r w:rsidR="00807FDA">
        <w:t>.</w:t>
      </w:r>
    </w:p>
    <w:p w:rsidR="008475B0" w:rsidRPr="00955CB8" w:rsidRDefault="008475B0" w:rsidP="00807FDA">
      <w:pPr>
        <w:pStyle w:val="Heading1"/>
        <w:numPr>
          <w:ilvl w:val="0"/>
          <w:numId w:val="1"/>
        </w:numPr>
        <w:ind w:left="360"/>
        <w:jc w:val="both"/>
        <w:textAlignment w:val="auto"/>
        <w:rPr>
          <w:sz w:val="32"/>
        </w:rPr>
      </w:pPr>
      <w:r w:rsidRPr="00955CB8">
        <w:rPr>
          <w:sz w:val="32"/>
        </w:rPr>
        <w:t>IR-HARQ redundancy versions</w:t>
      </w:r>
      <w:r>
        <w:rPr>
          <w:sz w:val="32"/>
        </w:rPr>
        <w:t xml:space="preserve"> and LBRM</w:t>
      </w:r>
    </w:p>
    <w:p w:rsidR="008B1631" w:rsidRDefault="008475B0" w:rsidP="00442980">
      <w:pPr>
        <w:jc w:val="both"/>
      </w:pPr>
      <w:r w:rsidRPr="00ED1D38">
        <w:t xml:space="preserve">Redundancy Version (RV) </w:t>
      </w:r>
      <w:r>
        <w:t>enables the</w:t>
      </w:r>
      <w:r w:rsidRPr="00ED1D38">
        <w:t xml:space="preserve"> receiver</w:t>
      </w:r>
      <w:r>
        <w:t xml:space="preserve"> to know where the received packet</w:t>
      </w:r>
      <w:r w:rsidRPr="00ED1D38">
        <w:t xml:space="preserve"> started in circular buffer. </w:t>
      </w:r>
      <w:r>
        <w:t>There are many ways to determine the starting po</w:t>
      </w:r>
      <w:r w:rsidR="00442980">
        <w:t>int for the redundancy versions</w:t>
      </w:r>
      <w:r>
        <w:t xml:space="preserve">. </w:t>
      </w:r>
      <w:r w:rsidRPr="00ED1D38">
        <w:t>RV can be defined to indicate</w:t>
      </w:r>
      <w:r w:rsidR="00377824">
        <w:t xml:space="preserve"> the address of circular buffer</w:t>
      </w:r>
      <w:r>
        <w:t xml:space="preserve">. </w:t>
      </w:r>
      <w:r w:rsidR="00377824">
        <w:t>T</w:t>
      </w:r>
      <w:r>
        <w:t>he first RV address is</w:t>
      </w:r>
      <w:r w:rsidR="008B1631">
        <w:t xml:space="preserve"> agreed to be</w:t>
      </w:r>
      <w:r>
        <w:t xml:space="preserve"> always 0, considering the punctured systematic bits are not placed in the circular buffer. </w:t>
      </w:r>
      <w:r w:rsidR="00442980">
        <w:t>Figure 1 shows different options to define the other 3 RVs on the circular buffer</w:t>
      </w:r>
      <w:r w:rsidR="007361D0">
        <w:t xml:space="preserve"> for BG1 that has 66 columns excluding the 2 punctured systematic columns</w:t>
      </w:r>
      <w:r w:rsidR="00442980">
        <w:t>.</w:t>
      </w:r>
      <w:r w:rsidR="007361D0">
        <w:t xml:space="preserve"> These are from LTE-like equally spaced </w:t>
      </w:r>
      <w:r w:rsidR="00CE00D1">
        <w:t>RVs,</w:t>
      </w:r>
      <w:r w:rsidR="007361D0">
        <w:t xml:space="preserve"> unequal spaced RVs [1</w:t>
      </w:r>
      <w:proofErr w:type="gramStart"/>
      <w:r w:rsidR="007361D0">
        <w:t>][</w:t>
      </w:r>
      <w:proofErr w:type="gramEnd"/>
      <w:r w:rsidR="007361D0">
        <w:t>4] and self-decodable RVs [2].</w:t>
      </w:r>
      <w:r w:rsidR="00A84E42">
        <w:t xml:space="preserve"> </w:t>
      </w:r>
      <w:r w:rsidR="00A84E42" w:rsidRPr="007B13A0">
        <w:t>Sim</w:t>
      </w:r>
      <w:r w:rsidR="00A84E42">
        <w:t>ulations</w:t>
      </w:r>
      <w:r w:rsidR="00A84E42" w:rsidRPr="007B13A0">
        <w:t xml:space="preserve"> are</w:t>
      </w:r>
      <w:r w:rsidR="00A84E42">
        <w:t xml:space="preserve"> based on 50 iterations of </w:t>
      </w:r>
      <w:r w:rsidR="00A84E42">
        <w:t>L</w:t>
      </w:r>
      <w:r w:rsidR="00A84E42">
        <w:t>BP to allow full convergence in the decoder</w:t>
      </w:r>
      <w:r w:rsidR="00A84E42">
        <w:t>.</w:t>
      </w:r>
    </w:p>
    <w:p w:rsidR="008B1631" w:rsidRDefault="008B1631" w:rsidP="008B1631">
      <w:pPr>
        <w:jc w:val="center"/>
      </w:pPr>
      <w:r>
        <w:rPr>
          <w:noProof/>
        </w:rPr>
        <w:drawing>
          <wp:inline distT="0" distB="0" distL="0" distR="0">
            <wp:extent cx="4343400" cy="191109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iff_RV_definition.jpg"/>
                    <pic:cNvPicPr/>
                  </pic:nvPicPr>
                  <pic:blipFill rotWithShape="1">
                    <a:blip r:embed="rId8">
                      <a:extLst>
                        <a:ext uri="{28A0092B-C50C-407E-A947-70E740481C1C}">
                          <a14:useLocalDpi xmlns:a14="http://schemas.microsoft.com/office/drawing/2010/main" val="0"/>
                        </a:ext>
                      </a:extLst>
                    </a:blip>
                    <a:srcRect l="3761" t="12836" r="18020" b="18702"/>
                    <a:stretch/>
                  </pic:blipFill>
                  <pic:spPr bwMode="auto">
                    <a:xfrm>
                      <a:off x="0" y="0"/>
                      <a:ext cx="4343400" cy="1911096"/>
                    </a:xfrm>
                    <a:prstGeom prst="rect">
                      <a:avLst/>
                    </a:prstGeom>
                    <a:ln>
                      <a:noFill/>
                    </a:ln>
                    <a:extLst>
                      <a:ext uri="{53640926-AAD7-44D8-BBD7-CCE9431645EC}">
                        <a14:shadowObscured xmlns:a14="http://schemas.microsoft.com/office/drawing/2010/main"/>
                      </a:ext>
                    </a:extLst>
                  </pic:spPr>
                </pic:pic>
              </a:graphicData>
            </a:graphic>
          </wp:inline>
        </w:drawing>
      </w:r>
    </w:p>
    <w:p w:rsidR="008B1631" w:rsidRPr="002821FA" w:rsidRDefault="008B1631" w:rsidP="008B1631">
      <w:pPr>
        <w:jc w:val="center"/>
        <w:rPr>
          <w:color w:val="767171" w:themeColor="background2" w:themeShade="80"/>
        </w:rPr>
      </w:pPr>
      <w:r>
        <w:rPr>
          <w:color w:val="767171" w:themeColor="background2" w:themeShade="80"/>
        </w:rPr>
        <w:t>Fig</w:t>
      </w:r>
      <w:r w:rsidRPr="002821FA">
        <w:rPr>
          <w:color w:val="767171" w:themeColor="background2" w:themeShade="80"/>
        </w:rPr>
        <w:t>1</w:t>
      </w:r>
      <w:r>
        <w:rPr>
          <w:color w:val="767171" w:themeColor="background2" w:themeShade="80"/>
        </w:rPr>
        <w:t>.</w:t>
      </w:r>
      <w:r w:rsidRPr="002821FA">
        <w:rPr>
          <w:color w:val="767171" w:themeColor="background2" w:themeShade="80"/>
        </w:rPr>
        <w:t xml:space="preserve"> </w:t>
      </w:r>
      <w:r>
        <w:rPr>
          <w:color w:val="767171" w:themeColor="background2" w:themeShade="80"/>
        </w:rPr>
        <w:t>Different options to define the LDPC redundancy version for NR</w:t>
      </w:r>
      <w:r w:rsidR="00526C98">
        <w:rPr>
          <w:color w:val="767171" w:themeColor="background2" w:themeShade="80"/>
        </w:rPr>
        <w:t>.</w:t>
      </w:r>
    </w:p>
    <w:p w:rsidR="0050025F" w:rsidRDefault="00442980" w:rsidP="007965AC">
      <w:pPr>
        <w:jc w:val="both"/>
      </w:pPr>
      <w:r>
        <w:lastRenderedPageBreak/>
        <w:t>As shown</w:t>
      </w:r>
      <w:r w:rsidR="008475B0">
        <w:t xml:space="preserve">, equally spaced redundancy versions will have </w:t>
      </w:r>
      <w:r w:rsidR="008475B0" w:rsidRPr="007B2CF4">
        <w:t xml:space="preserve">starting locations </w:t>
      </w:r>
      <w:r w:rsidR="008475B0">
        <w:t>of</w:t>
      </w:r>
      <w:r w:rsidR="008475B0" w:rsidRPr="007B2CF4">
        <w:t xml:space="preserve"> </w:t>
      </w:r>
      <w:r w:rsidR="008475B0">
        <w:t>0</w:t>
      </w:r>
      <w:r w:rsidR="008475B0" w:rsidRPr="007B2CF4">
        <w:t xml:space="preserve">, </w:t>
      </w:r>
      <w:r w:rsidR="008475B0">
        <w:t>17</w:t>
      </w:r>
      <w:r w:rsidR="009335A8">
        <w:t>*</w:t>
      </w:r>
      <w:r w:rsidR="008475B0" w:rsidRPr="007B2CF4">
        <w:t xml:space="preserve">Z, </w:t>
      </w:r>
      <w:r w:rsidR="008475B0">
        <w:t>34</w:t>
      </w:r>
      <w:r w:rsidR="009335A8">
        <w:t>*</w:t>
      </w:r>
      <w:r w:rsidR="008475B0" w:rsidRPr="007B2CF4">
        <w:t>Z and 5</w:t>
      </w:r>
      <w:r>
        <w:t>0</w:t>
      </w:r>
      <w:r w:rsidR="009335A8">
        <w:t>*</w:t>
      </w:r>
      <w:r w:rsidR="008475B0" w:rsidRPr="007B2CF4">
        <w:t>Z for BG1.</w:t>
      </w:r>
      <w:r w:rsidR="00526C98">
        <w:t xml:space="preserve"> </w:t>
      </w:r>
      <w:r w:rsidR="00377824">
        <w:t xml:space="preserve">Figure </w:t>
      </w:r>
      <w:r>
        <w:t>2</w:t>
      </w:r>
      <w:r w:rsidR="00377824">
        <w:t xml:space="preserve">, shows the </w:t>
      </w:r>
      <w:r w:rsidR="004163FE">
        <w:t xml:space="preserve">throughput </w:t>
      </w:r>
      <w:r w:rsidR="00377824">
        <w:t xml:space="preserve">comparison between the </w:t>
      </w:r>
      <w:r w:rsidR="007965AC">
        <w:t>three schemes when maximum number of transmission is 2</w:t>
      </w:r>
      <w:r w:rsidR="00195FA4">
        <w:t>, using BG1</w:t>
      </w:r>
      <w:r w:rsidR="007965AC">
        <w:t xml:space="preserve">: </w:t>
      </w:r>
    </w:p>
    <w:p w:rsidR="0050025F" w:rsidRPr="0050025F" w:rsidRDefault="0050025F" w:rsidP="0050025F">
      <w:pPr>
        <w:pStyle w:val="ListParagraph"/>
        <w:numPr>
          <w:ilvl w:val="0"/>
          <w:numId w:val="6"/>
        </w:numPr>
        <w:jc w:val="both"/>
        <w:rPr>
          <w:rFonts w:asciiTheme="majorBidi" w:hAnsiTheme="majorBidi" w:cstheme="majorBidi"/>
          <w:sz w:val="20"/>
          <w:szCs w:val="20"/>
        </w:rPr>
      </w:pPr>
      <w:r w:rsidRPr="0050025F">
        <w:rPr>
          <w:rFonts w:asciiTheme="majorBidi" w:hAnsiTheme="majorBidi" w:cstheme="majorBidi"/>
          <w:sz w:val="20"/>
          <w:szCs w:val="20"/>
        </w:rPr>
        <w:t>Equal</w:t>
      </w:r>
      <w:r w:rsidR="00377824" w:rsidRPr="0050025F">
        <w:rPr>
          <w:rFonts w:asciiTheme="majorBidi" w:hAnsiTheme="majorBidi" w:cstheme="majorBidi"/>
          <w:sz w:val="20"/>
          <w:szCs w:val="20"/>
        </w:rPr>
        <w:t xml:space="preserve"> RV spacing</w:t>
      </w:r>
      <w:r w:rsidR="007C65A7" w:rsidRPr="0050025F">
        <w:rPr>
          <w:rFonts w:asciiTheme="majorBidi" w:hAnsiTheme="majorBidi" w:cstheme="majorBidi"/>
          <w:sz w:val="20"/>
          <w:szCs w:val="20"/>
        </w:rPr>
        <w:t xml:space="preserve"> (in blue)</w:t>
      </w:r>
      <w:r w:rsidR="007965AC" w:rsidRPr="0050025F">
        <w:rPr>
          <w:rFonts w:asciiTheme="majorBidi" w:hAnsiTheme="majorBidi" w:cstheme="majorBidi"/>
          <w:sz w:val="20"/>
          <w:szCs w:val="20"/>
        </w:rPr>
        <w:t xml:space="preserve">, </w:t>
      </w:r>
    </w:p>
    <w:p w:rsidR="0050025F" w:rsidRPr="0050025F" w:rsidRDefault="0050025F" w:rsidP="0050025F">
      <w:pPr>
        <w:pStyle w:val="ListParagraph"/>
        <w:numPr>
          <w:ilvl w:val="0"/>
          <w:numId w:val="6"/>
        </w:numPr>
        <w:jc w:val="both"/>
        <w:rPr>
          <w:rFonts w:asciiTheme="majorBidi" w:hAnsiTheme="majorBidi" w:cstheme="majorBidi"/>
          <w:sz w:val="20"/>
          <w:szCs w:val="20"/>
        </w:rPr>
      </w:pPr>
      <w:r w:rsidRPr="0050025F">
        <w:rPr>
          <w:rFonts w:asciiTheme="majorBidi" w:hAnsiTheme="majorBidi" w:cstheme="majorBidi"/>
          <w:sz w:val="20"/>
          <w:szCs w:val="20"/>
        </w:rPr>
        <w:t>Unequal</w:t>
      </w:r>
      <w:r w:rsidR="00377824" w:rsidRPr="0050025F">
        <w:rPr>
          <w:rFonts w:asciiTheme="majorBidi" w:hAnsiTheme="majorBidi" w:cstheme="majorBidi"/>
          <w:sz w:val="20"/>
          <w:szCs w:val="20"/>
        </w:rPr>
        <w:t xml:space="preserve"> spacing </w:t>
      </w:r>
      <w:r w:rsidR="007965AC" w:rsidRPr="0050025F">
        <w:rPr>
          <w:rFonts w:asciiTheme="majorBidi" w:hAnsiTheme="majorBidi" w:cstheme="majorBidi"/>
          <w:sz w:val="20"/>
          <w:szCs w:val="20"/>
        </w:rPr>
        <w:t>(</w:t>
      </w:r>
      <w:r w:rsidR="00377824" w:rsidRPr="0050025F">
        <w:rPr>
          <w:rFonts w:asciiTheme="majorBidi" w:hAnsiTheme="majorBidi" w:cstheme="majorBidi"/>
          <w:sz w:val="20"/>
          <w:szCs w:val="20"/>
        </w:rPr>
        <w:t>as in [1]</w:t>
      </w:r>
      <w:r w:rsidR="007965AC" w:rsidRPr="0050025F">
        <w:rPr>
          <w:rFonts w:asciiTheme="majorBidi" w:hAnsiTheme="majorBidi" w:cstheme="majorBidi"/>
          <w:sz w:val="20"/>
          <w:szCs w:val="20"/>
        </w:rPr>
        <w:t>)</w:t>
      </w:r>
      <w:r w:rsidR="007C65A7" w:rsidRPr="0050025F">
        <w:rPr>
          <w:rFonts w:asciiTheme="majorBidi" w:hAnsiTheme="majorBidi" w:cstheme="majorBidi"/>
          <w:sz w:val="20"/>
          <w:szCs w:val="20"/>
        </w:rPr>
        <w:t xml:space="preserve"> (in red)</w:t>
      </w:r>
      <w:r w:rsidRPr="0050025F">
        <w:rPr>
          <w:rFonts w:asciiTheme="majorBidi" w:hAnsiTheme="majorBidi" w:cstheme="majorBidi"/>
          <w:sz w:val="20"/>
          <w:szCs w:val="20"/>
        </w:rPr>
        <w:t>,</w:t>
      </w:r>
      <w:r w:rsidR="007965AC" w:rsidRPr="0050025F">
        <w:rPr>
          <w:rFonts w:asciiTheme="majorBidi" w:hAnsiTheme="majorBidi" w:cstheme="majorBidi"/>
          <w:sz w:val="20"/>
          <w:szCs w:val="20"/>
        </w:rPr>
        <w:t xml:space="preserve"> </w:t>
      </w:r>
    </w:p>
    <w:p w:rsidR="00526C98" w:rsidRPr="0050025F" w:rsidRDefault="0050025F" w:rsidP="0050025F">
      <w:pPr>
        <w:pStyle w:val="ListParagraph"/>
        <w:numPr>
          <w:ilvl w:val="0"/>
          <w:numId w:val="6"/>
        </w:numPr>
        <w:jc w:val="both"/>
        <w:rPr>
          <w:rFonts w:asciiTheme="majorBidi" w:hAnsiTheme="majorBidi" w:cstheme="majorBidi"/>
          <w:sz w:val="20"/>
          <w:szCs w:val="20"/>
        </w:rPr>
      </w:pPr>
      <w:r w:rsidRPr="0050025F">
        <w:rPr>
          <w:rFonts w:asciiTheme="majorBidi" w:hAnsiTheme="majorBidi" w:cstheme="majorBidi"/>
          <w:sz w:val="20"/>
          <w:szCs w:val="20"/>
        </w:rPr>
        <w:t>Equal</w:t>
      </w:r>
      <w:r w:rsidR="007965AC" w:rsidRPr="0050025F">
        <w:rPr>
          <w:rFonts w:asciiTheme="majorBidi" w:hAnsiTheme="majorBidi" w:cstheme="majorBidi"/>
          <w:sz w:val="20"/>
          <w:szCs w:val="20"/>
        </w:rPr>
        <w:t xml:space="preserve"> spacing RVs defined on permuted buffer (as in [2]) (in green)</w:t>
      </w:r>
      <w:r w:rsidR="00377824" w:rsidRPr="0050025F">
        <w:rPr>
          <w:rFonts w:asciiTheme="majorBidi" w:hAnsiTheme="majorBidi" w:cstheme="majorBidi"/>
          <w:sz w:val="20"/>
          <w:szCs w:val="20"/>
        </w:rPr>
        <w:t>.</w:t>
      </w:r>
      <w:r w:rsidR="001404F4">
        <w:rPr>
          <w:rFonts w:asciiTheme="majorBidi" w:hAnsiTheme="majorBidi" w:cstheme="majorBidi"/>
          <w:sz w:val="20"/>
          <w:szCs w:val="20"/>
        </w:rPr>
        <w:t xml:space="preserve"> We note that in these evaluations, the first transmission is </w:t>
      </w:r>
      <w:r w:rsidR="007361D0">
        <w:rPr>
          <w:rFonts w:asciiTheme="majorBidi" w:hAnsiTheme="majorBidi" w:cstheme="majorBidi"/>
          <w:sz w:val="20"/>
          <w:szCs w:val="20"/>
        </w:rPr>
        <w:t>defined on original buffer (i.e. RV0)</w:t>
      </w:r>
      <w:r w:rsidR="001404F4">
        <w:rPr>
          <w:rFonts w:asciiTheme="majorBidi" w:hAnsiTheme="majorBidi" w:cstheme="majorBidi"/>
          <w:sz w:val="20"/>
          <w:szCs w:val="20"/>
        </w:rPr>
        <w:t>.</w:t>
      </w:r>
    </w:p>
    <w:p w:rsidR="00CE00D1" w:rsidRDefault="00CE00D1" w:rsidP="00B306BC">
      <w:pPr>
        <w:jc w:val="both"/>
      </w:pPr>
    </w:p>
    <w:p w:rsidR="00F479BF" w:rsidRDefault="007361D0" w:rsidP="00B306BC">
      <w:pPr>
        <w:jc w:val="both"/>
      </w:pPr>
      <w:r>
        <w:t>It should be noted that in all three cases, 1</w:t>
      </w:r>
      <w:r w:rsidRPr="00062F19">
        <w:rPr>
          <w:vertAlign w:val="superscript"/>
        </w:rPr>
        <w:t>st</w:t>
      </w:r>
      <w:r>
        <w:t xml:space="preserve"> transmission uses same RV, so any difference is visible only in 2</w:t>
      </w:r>
      <w:r w:rsidRPr="00062F19">
        <w:rPr>
          <w:vertAlign w:val="superscript"/>
        </w:rPr>
        <w:t>nd</w:t>
      </w:r>
      <w:r>
        <w:t xml:space="preserve"> transmission. </w:t>
      </w:r>
      <w:r w:rsidR="00377824">
        <w:t xml:space="preserve">There is a negligible </w:t>
      </w:r>
      <w:r w:rsidR="00005FA1">
        <w:t xml:space="preserve">throughput difference between </w:t>
      </w:r>
      <w:r w:rsidR="007965AC">
        <w:t>(a) and (b),</w:t>
      </w:r>
      <w:r w:rsidR="00005FA1">
        <w:t xml:space="preserve"> and a very small </w:t>
      </w:r>
      <w:r w:rsidR="00377824">
        <w:t xml:space="preserve">gain </w:t>
      </w:r>
      <w:r w:rsidR="00005FA1">
        <w:t xml:space="preserve">only </w:t>
      </w:r>
      <w:r w:rsidR="00377824">
        <w:t>for r</w:t>
      </w:r>
      <w:r w:rsidR="007C65A7">
        <w:t xml:space="preserve">ates 5/6 and </w:t>
      </w:r>
      <w:r w:rsidR="00377824">
        <w:t>8</w:t>
      </w:r>
      <w:r w:rsidR="007C65A7">
        <w:t>/</w:t>
      </w:r>
      <w:r w:rsidR="00377824">
        <w:t>9 wi</w:t>
      </w:r>
      <w:r w:rsidR="007C65A7">
        <w:t>t</w:t>
      </w:r>
      <w:r w:rsidR="00377824">
        <w:t xml:space="preserve">h </w:t>
      </w:r>
      <w:r w:rsidR="007965AC">
        <w:t>(b) compared to (a)</w:t>
      </w:r>
      <w:r w:rsidR="00005FA1">
        <w:t>.</w:t>
      </w:r>
      <w:r>
        <w:t xml:space="preserve"> </w:t>
      </w:r>
      <w:r w:rsidR="00F479BF">
        <w:t xml:space="preserve">Figure </w:t>
      </w:r>
      <w:r w:rsidR="00B306BC">
        <w:t>2a</w:t>
      </w:r>
      <w:r w:rsidR="00AD1F7D">
        <w:t xml:space="preserve"> in the annex</w:t>
      </w:r>
      <w:r w:rsidR="00F479BF">
        <w:t xml:space="preserve">, presents </w:t>
      </w:r>
      <w:r w:rsidR="00D52349">
        <w:t xml:space="preserve">similar </w:t>
      </w:r>
      <w:r w:rsidR="00F479BF">
        <w:t xml:space="preserve">throughput comparison </w:t>
      </w:r>
      <w:r w:rsidR="007965AC">
        <w:t xml:space="preserve">between (a) and (b) </w:t>
      </w:r>
      <w:r w:rsidR="00F479BF">
        <w:t>for 256QAM.</w:t>
      </w:r>
      <w:r w:rsidR="00005FA1">
        <w:t xml:space="preserve"> T</w:t>
      </w:r>
      <w:r w:rsidR="004F5D82">
        <w:t xml:space="preserve">he difference between the two RV spacing schemes is </w:t>
      </w:r>
      <w:r w:rsidR="00526C98">
        <w:t xml:space="preserve">small </w:t>
      </w:r>
      <w:r w:rsidR="00005FA1">
        <w:t>and uneven spacing only performs slightly better for rate 8/9</w:t>
      </w:r>
      <w:r w:rsidR="004F5D82">
        <w:t>.</w:t>
      </w:r>
    </w:p>
    <w:p w:rsidR="007965AC" w:rsidRDefault="00005FA1" w:rsidP="00A7623C">
      <w:pPr>
        <w:jc w:val="both"/>
      </w:pPr>
      <w:r>
        <w:t>Base</w:t>
      </w:r>
      <w:r w:rsidR="007361D0">
        <w:t>d</w:t>
      </w:r>
      <w:r>
        <w:t xml:space="preserve"> on these evaluations, the uneven RV placing</w:t>
      </w:r>
      <w:r w:rsidR="007965AC">
        <w:t xml:space="preserve"> </w:t>
      </w:r>
      <w:r w:rsidR="007361D0">
        <w:t>may not provide significant gains over evenly-spaced RVs, and therefore latter may be more preferable.</w:t>
      </w:r>
      <w:r w:rsidR="007965AC">
        <w:t xml:space="preserve"> </w:t>
      </w:r>
    </w:p>
    <w:p w:rsidR="00377824" w:rsidRDefault="00FF357E" w:rsidP="00377824">
      <w:pPr>
        <w:jc w:val="center"/>
      </w:pPr>
      <w:r w:rsidRPr="00FF357E">
        <w:rPr>
          <w:noProof/>
        </w:rPr>
        <w:drawing>
          <wp:inline distT="0" distB="0" distL="0" distR="0">
            <wp:extent cx="4087368" cy="2907792"/>
            <wp:effectExtent l="0" t="0" r="889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a:extLst>
                        <a:ext uri="{28A0092B-C50C-407E-A947-70E740481C1C}">
                          <a14:useLocalDpi xmlns:a14="http://schemas.microsoft.com/office/drawing/2010/main" val="0"/>
                        </a:ext>
                      </a:extLst>
                    </a:blip>
                    <a:srcRect l="6771" t="4072" r="8384" b="3298"/>
                    <a:stretch/>
                  </pic:blipFill>
                  <pic:spPr bwMode="auto">
                    <a:xfrm>
                      <a:off x="0" y="0"/>
                      <a:ext cx="4087368" cy="2907792"/>
                    </a:xfrm>
                    <a:prstGeom prst="rect">
                      <a:avLst/>
                    </a:prstGeom>
                    <a:noFill/>
                    <a:ln>
                      <a:noFill/>
                    </a:ln>
                    <a:extLst>
                      <a:ext uri="{53640926-AAD7-44D8-BBD7-CCE9431645EC}">
                        <a14:shadowObscured xmlns:a14="http://schemas.microsoft.com/office/drawing/2010/main"/>
                      </a:ext>
                    </a:extLst>
                  </pic:spPr>
                </pic:pic>
              </a:graphicData>
            </a:graphic>
          </wp:inline>
        </w:drawing>
      </w:r>
    </w:p>
    <w:p w:rsidR="002821FA" w:rsidRDefault="002821FA" w:rsidP="00A84E42">
      <w:pPr>
        <w:jc w:val="center"/>
        <w:rPr>
          <w:color w:val="767171" w:themeColor="background2" w:themeShade="80"/>
        </w:rPr>
      </w:pPr>
      <w:r w:rsidRPr="002821FA">
        <w:rPr>
          <w:color w:val="767171" w:themeColor="background2" w:themeShade="80"/>
        </w:rPr>
        <w:t>Fig</w:t>
      </w:r>
      <w:r w:rsidR="008B1631">
        <w:rPr>
          <w:color w:val="767171" w:themeColor="background2" w:themeShade="80"/>
        </w:rPr>
        <w:t xml:space="preserve"> 2.</w:t>
      </w:r>
      <w:r w:rsidRPr="002821FA">
        <w:rPr>
          <w:color w:val="767171" w:themeColor="background2" w:themeShade="80"/>
        </w:rPr>
        <w:t xml:space="preserve"> Throughput vs SNR (dB) for </w:t>
      </w:r>
      <w:r w:rsidR="007965AC">
        <w:rPr>
          <w:color w:val="767171" w:themeColor="background2" w:themeShade="80"/>
        </w:rPr>
        <w:t>different RV definitions, up to 2 transmissions</w:t>
      </w:r>
      <w:r w:rsidR="00F479BF">
        <w:rPr>
          <w:color w:val="767171" w:themeColor="background2" w:themeShade="80"/>
        </w:rPr>
        <w:t>, for QPSK</w:t>
      </w:r>
      <w:r w:rsidR="00195FA4">
        <w:rPr>
          <w:color w:val="767171" w:themeColor="background2" w:themeShade="80"/>
        </w:rPr>
        <w:t>, BG1</w:t>
      </w:r>
      <w:r w:rsidR="00A84E42">
        <w:rPr>
          <w:color w:val="767171" w:themeColor="background2" w:themeShade="80"/>
        </w:rPr>
        <w:t>.</w:t>
      </w:r>
    </w:p>
    <w:p w:rsidR="00526C98" w:rsidRDefault="00526C98" w:rsidP="00526C98">
      <w:pPr>
        <w:jc w:val="both"/>
      </w:pPr>
      <w:r>
        <w:t>Figure 2 also shows that having a retransmission on the permuted circular buffer could be worse than having both transmissions based on the original circular buffer. Thus, the benefits of defining RVs on the permuted circular buffer may be more suited for cases where self-</w:t>
      </w:r>
      <w:proofErr w:type="spellStart"/>
      <w:r>
        <w:t>decodability</w:t>
      </w:r>
      <w:proofErr w:type="spellEnd"/>
      <w:r>
        <w:t xml:space="preserve"> of single transmission of each RV (for RV&gt;0) is desirable. </w:t>
      </w:r>
    </w:p>
    <w:p w:rsidR="00526C98" w:rsidRPr="00062F19" w:rsidRDefault="00526C98" w:rsidP="00062F19">
      <w:pPr>
        <w:rPr>
          <w:color w:val="767171" w:themeColor="background2" w:themeShade="80"/>
        </w:rPr>
      </w:pPr>
      <w:r>
        <w:t xml:space="preserve">Figure 3 and 4 present the results for 1 transmission with different RVs, defined over the original and the permuted buffer, respectively. As can be observed, RV 1, 2, 3 defined on the original buffer, are not self-decodable for all the rates, while all the RVs (defined on permuted buffer) are self-decodable for the simulated rates. </w:t>
      </w:r>
      <w:r>
        <w:tab/>
        <w:t>Consequently, if self-</w:t>
      </w:r>
      <w:proofErr w:type="spellStart"/>
      <w:r>
        <w:t>decodability</w:t>
      </w:r>
      <w:proofErr w:type="spellEnd"/>
      <w:r>
        <w:t xml:space="preserve"> of each RV is essential in NR, then RVs greater than 0 can be defined on the permuted circular buffer</w:t>
      </w:r>
      <w:r w:rsidR="000C0E66">
        <w:t xml:space="preserve"> – note that with DTX detection a </w:t>
      </w:r>
      <w:proofErr w:type="spellStart"/>
      <w:r w:rsidR="000C0E66">
        <w:t>gNB</w:t>
      </w:r>
      <w:proofErr w:type="spellEnd"/>
      <w:r w:rsidR="000C0E66">
        <w:t xml:space="preserve"> may be able to detect a missed 1</w:t>
      </w:r>
      <w:r w:rsidR="000C0E66" w:rsidRPr="00062F19">
        <w:rPr>
          <w:vertAlign w:val="superscript"/>
        </w:rPr>
        <w:t>st</w:t>
      </w:r>
      <w:r w:rsidR="000C0E66">
        <w:t xml:space="preserve"> </w:t>
      </w:r>
      <w:proofErr w:type="spellStart"/>
      <w:r w:rsidR="000C0E66">
        <w:t>Tx</w:t>
      </w:r>
      <w:proofErr w:type="spellEnd"/>
      <w:r w:rsidR="000C0E66">
        <w:t xml:space="preserve"> (scheduled using RV0) and reschedule RV0 on a 2</w:t>
      </w:r>
      <w:r w:rsidR="000C0E66" w:rsidRPr="00062F19">
        <w:rPr>
          <w:vertAlign w:val="superscript"/>
        </w:rPr>
        <w:t>nd</w:t>
      </w:r>
      <w:r w:rsidR="000C0E66">
        <w:t xml:space="preserve"> </w:t>
      </w:r>
      <w:proofErr w:type="spellStart"/>
      <w:r w:rsidR="000C0E66">
        <w:t>Tx</w:t>
      </w:r>
      <w:proofErr w:type="spellEnd"/>
      <w:r w:rsidR="000C0E66">
        <w:t xml:space="preserve"> to a given UE</w:t>
      </w:r>
      <w:r>
        <w:t xml:space="preserve">. In our view, it may not be necessary to define each RV to be self-decodable, but if necessary, one additional redundancy version (RV1) may be used to </w:t>
      </w:r>
      <w:r w:rsidR="000C0E66">
        <w:t>define a</w:t>
      </w:r>
      <w:r>
        <w:t xml:space="preserve"> self-decodable RV on permuted circular buffer. Otherwise, as far as the combined RVs performance is considered, there could potentially be loss by defining (all RVs &gt;0) </w:t>
      </w:r>
      <w:r w:rsidR="000C0E66">
        <w:t xml:space="preserve">on the permuted CB. </w:t>
      </w:r>
    </w:p>
    <w:p w:rsidR="00526C98" w:rsidRDefault="00526C98" w:rsidP="00526C98">
      <w:pPr>
        <w:jc w:val="both"/>
        <w:rPr>
          <w:b/>
        </w:rPr>
      </w:pPr>
      <w:r w:rsidRPr="005F320A">
        <w:rPr>
          <w:b/>
        </w:rPr>
        <w:t xml:space="preserve">Proposal </w:t>
      </w:r>
      <w:r>
        <w:rPr>
          <w:b/>
        </w:rPr>
        <w:t>1</w:t>
      </w:r>
      <w:r w:rsidRPr="005F320A">
        <w:rPr>
          <w:b/>
        </w:rPr>
        <w:t xml:space="preserve">: </w:t>
      </w:r>
      <w:r>
        <w:rPr>
          <w:b/>
        </w:rPr>
        <w:t>The redundancy versions are equally spaced within the circular buffer.</w:t>
      </w:r>
    </w:p>
    <w:p w:rsidR="00526C98" w:rsidRDefault="00526C98" w:rsidP="00526C98">
      <w:pPr>
        <w:jc w:val="both"/>
        <w:rPr>
          <w:b/>
        </w:rPr>
      </w:pPr>
      <w:r w:rsidRPr="005F320A">
        <w:rPr>
          <w:b/>
        </w:rPr>
        <w:t xml:space="preserve">Proposal </w:t>
      </w:r>
      <w:r>
        <w:rPr>
          <w:b/>
        </w:rPr>
        <w:t>2</w:t>
      </w:r>
      <w:r w:rsidRPr="005F320A">
        <w:rPr>
          <w:b/>
        </w:rPr>
        <w:t xml:space="preserve">: </w:t>
      </w:r>
      <w:r>
        <w:rPr>
          <w:b/>
        </w:rPr>
        <w:t>If self-</w:t>
      </w:r>
      <w:proofErr w:type="spellStart"/>
      <w:r>
        <w:rPr>
          <w:b/>
        </w:rPr>
        <w:t>decodability</w:t>
      </w:r>
      <w:proofErr w:type="spellEnd"/>
      <w:r>
        <w:rPr>
          <w:b/>
        </w:rPr>
        <w:t xml:space="preserve"> of RV </w:t>
      </w:r>
      <w:r w:rsidR="000C0E66">
        <w:rPr>
          <w:b/>
        </w:rPr>
        <w:t xml:space="preserve">other than 0 </w:t>
      </w:r>
      <w:r>
        <w:rPr>
          <w:b/>
        </w:rPr>
        <w:t xml:space="preserve">is </w:t>
      </w:r>
      <w:r w:rsidR="000C0E66">
        <w:rPr>
          <w:b/>
        </w:rPr>
        <w:t>considered essential</w:t>
      </w:r>
      <w:r>
        <w:rPr>
          <w:b/>
        </w:rPr>
        <w:t xml:space="preserve"> for NR, </w:t>
      </w:r>
      <w:r w:rsidR="000C0E66">
        <w:rPr>
          <w:b/>
        </w:rPr>
        <w:t xml:space="preserve">at least one </w:t>
      </w:r>
      <w:r>
        <w:rPr>
          <w:b/>
        </w:rPr>
        <w:t xml:space="preserve">RV greater than 0 </w:t>
      </w:r>
      <w:r w:rsidR="000C0E66">
        <w:rPr>
          <w:b/>
        </w:rPr>
        <w:t>can be</w:t>
      </w:r>
      <w:r>
        <w:rPr>
          <w:b/>
        </w:rPr>
        <w:t xml:space="preserve"> defined on a permuted circular buffer. </w:t>
      </w:r>
    </w:p>
    <w:p w:rsidR="00526C98" w:rsidRPr="00062F19" w:rsidRDefault="00526C98" w:rsidP="00062F19">
      <w:pPr>
        <w:tabs>
          <w:tab w:val="left" w:pos="7452"/>
        </w:tabs>
      </w:pPr>
    </w:p>
    <w:p w:rsidR="00B306BC" w:rsidRDefault="00B306BC" w:rsidP="00B306BC">
      <w:pPr>
        <w:jc w:val="center"/>
        <w:rPr>
          <w:color w:val="767171" w:themeColor="background2" w:themeShade="80"/>
        </w:rPr>
      </w:pPr>
      <w:r w:rsidRPr="00B306BC">
        <w:rPr>
          <w:noProof/>
          <w:color w:val="767171" w:themeColor="background2" w:themeShade="80"/>
        </w:rPr>
        <w:lastRenderedPageBreak/>
        <w:drawing>
          <wp:inline distT="0" distB="0" distL="0" distR="0">
            <wp:extent cx="3520440" cy="2880360"/>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0">
                      <a:extLst>
                        <a:ext uri="{28A0092B-C50C-407E-A947-70E740481C1C}">
                          <a14:useLocalDpi xmlns:a14="http://schemas.microsoft.com/office/drawing/2010/main" val="0"/>
                        </a:ext>
                      </a:extLst>
                    </a:blip>
                    <a:srcRect l="5866" t="3224" r="8090" b="3461"/>
                    <a:stretch/>
                  </pic:blipFill>
                  <pic:spPr bwMode="auto">
                    <a:xfrm>
                      <a:off x="0" y="0"/>
                      <a:ext cx="3520440" cy="2880360"/>
                    </a:xfrm>
                    <a:prstGeom prst="rect">
                      <a:avLst/>
                    </a:prstGeom>
                    <a:noFill/>
                    <a:ln>
                      <a:noFill/>
                    </a:ln>
                    <a:extLst>
                      <a:ext uri="{53640926-AAD7-44D8-BBD7-CCE9431645EC}">
                        <a14:shadowObscured xmlns:a14="http://schemas.microsoft.com/office/drawing/2010/main"/>
                      </a:ext>
                    </a:extLst>
                  </pic:spPr>
                </pic:pic>
              </a:graphicData>
            </a:graphic>
          </wp:inline>
        </w:drawing>
      </w:r>
    </w:p>
    <w:p w:rsidR="00B306BC" w:rsidRDefault="00B306BC" w:rsidP="00A84E42">
      <w:pPr>
        <w:jc w:val="center"/>
      </w:pPr>
      <w:r>
        <w:rPr>
          <w:color w:val="767171" w:themeColor="background2" w:themeShade="80"/>
        </w:rPr>
        <w:t>Fig 3.</w:t>
      </w:r>
      <w:r w:rsidRPr="002821FA">
        <w:rPr>
          <w:color w:val="767171" w:themeColor="background2" w:themeShade="80"/>
        </w:rPr>
        <w:t xml:space="preserve"> Throughput vs SNR (dB) </w:t>
      </w:r>
      <w:r>
        <w:rPr>
          <w:color w:val="767171" w:themeColor="background2" w:themeShade="80"/>
        </w:rPr>
        <w:t>with 1 transmission with different RVs for (a), for QPSK</w:t>
      </w:r>
      <w:r w:rsidR="00195FA4">
        <w:rPr>
          <w:color w:val="767171" w:themeColor="background2" w:themeShade="80"/>
        </w:rPr>
        <w:t>, BG1</w:t>
      </w:r>
      <w:r w:rsidR="00A84E42">
        <w:rPr>
          <w:color w:val="767171" w:themeColor="background2" w:themeShade="80"/>
        </w:rPr>
        <w:t>.</w:t>
      </w:r>
    </w:p>
    <w:p w:rsidR="009154BF" w:rsidRDefault="009154BF" w:rsidP="0098604B">
      <w:pPr>
        <w:jc w:val="center"/>
        <w:rPr>
          <w:color w:val="767171" w:themeColor="background2" w:themeShade="80"/>
        </w:rPr>
      </w:pPr>
      <w:r w:rsidRPr="009154BF">
        <w:rPr>
          <w:noProof/>
          <w:color w:val="767171" w:themeColor="background2" w:themeShade="80"/>
        </w:rPr>
        <w:drawing>
          <wp:inline distT="0" distB="0" distL="0" distR="0">
            <wp:extent cx="3749040" cy="3054096"/>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1">
                      <a:extLst>
                        <a:ext uri="{28A0092B-C50C-407E-A947-70E740481C1C}">
                          <a14:useLocalDpi xmlns:a14="http://schemas.microsoft.com/office/drawing/2010/main" val="0"/>
                        </a:ext>
                      </a:extLst>
                    </a:blip>
                    <a:srcRect l="6318" t="3631" r="8083" b="3289"/>
                    <a:stretch/>
                  </pic:blipFill>
                  <pic:spPr bwMode="auto">
                    <a:xfrm>
                      <a:off x="0" y="0"/>
                      <a:ext cx="3749040" cy="3054096"/>
                    </a:xfrm>
                    <a:prstGeom prst="rect">
                      <a:avLst/>
                    </a:prstGeom>
                    <a:noFill/>
                    <a:ln>
                      <a:noFill/>
                    </a:ln>
                    <a:extLst>
                      <a:ext uri="{53640926-AAD7-44D8-BBD7-CCE9431645EC}">
                        <a14:shadowObscured xmlns:a14="http://schemas.microsoft.com/office/drawing/2010/main"/>
                      </a:ext>
                    </a:extLst>
                  </pic:spPr>
                </pic:pic>
              </a:graphicData>
            </a:graphic>
          </wp:inline>
        </w:drawing>
      </w:r>
    </w:p>
    <w:p w:rsidR="00BC322D" w:rsidRDefault="00BC322D" w:rsidP="00A84E42">
      <w:pPr>
        <w:jc w:val="center"/>
      </w:pPr>
      <w:r>
        <w:rPr>
          <w:color w:val="767171" w:themeColor="background2" w:themeShade="80"/>
        </w:rPr>
        <w:t xml:space="preserve">Fig </w:t>
      </w:r>
      <w:r w:rsidR="00B306BC">
        <w:rPr>
          <w:color w:val="767171" w:themeColor="background2" w:themeShade="80"/>
        </w:rPr>
        <w:t>4</w:t>
      </w:r>
      <w:r>
        <w:rPr>
          <w:color w:val="767171" w:themeColor="background2" w:themeShade="80"/>
        </w:rPr>
        <w:t>.</w:t>
      </w:r>
      <w:r w:rsidRPr="002821FA">
        <w:rPr>
          <w:color w:val="767171" w:themeColor="background2" w:themeShade="80"/>
        </w:rPr>
        <w:t xml:space="preserve"> Throughput vs SNR (dB) </w:t>
      </w:r>
      <w:r w:rsidR="009154BF">
        <w:rPr>
          <w:color w:val="767171" w:themeColor="background2" w:themeShade="80"/>
        </w:rPr>
        <w:t>with 1 transmission with different RV</w:t>
      </w:r>
      <w:r w:rsidR="00B306BC">
        <w:rPr>
          <w:color w:val="767171" w:themeColor="background2" w:themeShade="80"/>
        </w:rPr>
        <w:t>s</w:t>
      </w:r>
      <w:r w:rsidR="009154BF">
        <w:rPr>
          <w:color w:val="767171" w:themeColor="background2" w:themeShade="80"/>
        </w:rPr>
        <w:t xml:space="preserve"> for </w:t>
      </w:r>
      <w:r w:rsidR="00515CD8">
        <w:rPr>
          <w:color w:val="767171" w:themeColor="background2" w:themeShade="80"/>
        </w:rPr>
        <w:t>(c), for QPSK</w:t>
      </w:r>
      <w:r w:rsidR="00195FA4">
        <w:rPr>
          <w:color w:val="767171" w:themeColor="background2" w:themeShade="80"/>
        </w:rPr>
        <w:t>, BG1</w:t>
      </w:r>
      <w:r w:rsidR="00CE00D1">
        <w:rPr>
          <w:color w:val="767171" w:themeColor="background2" w:themeShade="80"/>
        </w:rPr>
        <w:t xml:space="preserve">. </w:t>
      </w:r>
    </w:p>
    <w:p w:rsidR="00BC322D" w:rsidRDefault="00BC322D" w:rsidP="00807FDA">
      <w:pPr>
        <w:jc w:val="both"/>
      </w:pPr>
    </w:p>
    <w:p w:rsidR="007E1512" w:rsidRPr="007E1512" w:rsidRDefault="000C0E66">
      <w:pPr>
        <w:jc w:val="both"/>
        <w:rPr>
          <w:b/>
          <w:u w:val="single"/>
        </w:rPr>
      </w:pPr>
      <w:r w:rsidRPr="00062F19">
        <w:rPr>
          <w:b/>
          <w:u w:val="single"/>
        </w:rPr>
        <w:t xml:space="preserve">Related aspects of RV indication </w:t>
      </w:r>
    </w:p>
    <w:p w:rsidR="00E842CE" w:rsidRPr="008F26D9" w:rsidRDefault="00BA6490" w:rsidP="008F26D9">
      <w:pPr>
        <w:jc w:val="both"/>
      </w:pPr>
      <w:r>
        <w:rPr>
          <w:lang w:val="en-GB"/>
        </w:rPr>
        <w:t xml:space="preserve">In </w:t>
      </w:r>
      <w:r w:rsidR="000C0E66">
        <w:rPr>
          <w:lang w:val="en-GB"/>
        </w:rPr>
        <w:t xml:space="preserve">certain cases (e.g. </w:t>
      </w:r>
      <w:r>
        <w:rPr>
          <w:lang w:val="en-GB"/>
        </w:rPr>
        <w:t>UL grant free transmission</w:t>
      </w:r>
      <w:r w:rsidR="000C0E66">
        <w:rPr>
          <w:lang w:val="en-GB"/>
        </w:rPr>
        <w:t>)</w:t>
      </w:r>
      <w:r>
        <w:rPr>
          <w:lang w:val="en-GB"/>
        </w:rPr>
        <w:t xml:space="preserve">, </w:t>
      </w:r>
      <w:r w:rsidRPr="00BA6490">
        <w:rPr>
          <w:lang w:val="en-GB"/>
        </w:rPr>
        <w:t xml:space="preserve">the </w:t>
      </w:r>
      <w:r>
        <w:rPr>
          <w:lang w:val="en-GB"/>
        </w:rPr>
        <w:t>RV</w:t>
      </w:r>
      <w:r w:rsidRPr="00BA6490">
        <w:rPr>
          <w:lang w:val="en-GB"/>
        </w:rPr>
        <w:t xml:space="preserve"> seq</w:t>
      </w:r>
      <w:r>
        <w:rPr>
          <w:lang w:val="en-GB"/>
        </w:rPr>
        <w:t xml:space="preserve">uence </w:t>
      </w:r>
      <w:r w:rsidR="000C0E66">
        <w:rPr>
          <w:lang w:val="en-GB"/>
        </w:rPr>
        <w:t>for packet transmissions and retransmissions may need to</w:t>
      </w:r>
      <w:r w:rsidR="000C0E66" w:rsidRPr="00BA6490">
        <w:rPr>
          <w:lang w:val="en-GB"/>
        </w:rPr>
        <w:t xml:space="preserve"> </w:t>
      </w:r>
      <w:r w:rsidRPr="00BA6490">
        <w:rPr>
          <w:lang w:val="en-GB"/>
        </w:rPr>
        <w:t>be predefined or</w:t>
      </w:r>
      <w:r>
        <w:rPr>
          <w:lang w:val="en-GB"/>
        </w:rPr>
        <w:t xml:space="preserve"> </w:t>
      </w:r>
      <w:r w:rsidRPr="00BA6490">
        <w:rPr>
          <w:lang w:val="en-GB"/>
        </w:rPr>
        <w:t xml:space="preserve">configured by </w:t>
      </w:r>
      <w:r>
        <w:rPr>
          <w:lang w:val="en-GB"/>
        </w:rPr>
        <w:t xml:space="preserve">the </w:t>
      </w:r>
      <w:r w:rsidRPr="00BA6490">
        <w:rPr>
          <w:lang w:val="en-GB"/>
        </w:rPr>
        <w:t>higher layers</w:t>
      </w:r>
      <w:r>
        <w:rPr>
          <w:lang w:val="en-GB"/>
        </w:rPr>
        <w:t xml:space="preserve">. </w:t>
      </w:r>
      <w:r w:rsidR="00E842CE">
        <w:rPr>
          <w:lang w:val="en-GB"/>
        </w:rPr>
        <w:t xml:space="preserve">In particular, </w:t>
      </w:r>
      <w:r w:rsidR="00E842CE">
        <w:t xml:space="preserve">in RAN1 #90, it was agreed that </w:t>
      </w:r>
      <w:r w:rsidR="00E842CE" w:rsidRPr="00E842CE">
        <w:rPr>
          <w:rFonts w:eastAsia="Yu Mincho"/>
          <w:lang w:eastAsia="zh-CN"/>
        </w:rPr>
        <w:t>the</w:t>
      </w:r>
      <w:r w:rsidR="00E842CE" w:rsidRPr="00E842CE">
        <w:rPr>
          <w:rFonts w:eastAsia="Yu Mincho" w:hint="eastAsia"/>
          <w:lang w:eastAsia="zh-CN"/>
        </w:rPr>
        <w:t xml:space="preserve"> RV </w:t>
      </w:r>
      <w:r w:rsidR="00E842CE" w:rsidRPr="00E842CE">
        <w:rPr>
          <w:rFonts w:eastAsia="Yu Mincho"/>
          <w:lang w:eastAsia="zh-CN"/>
        </w:rPr>
        <w:t>determination for K repetitions including the initial transmission</w:t>
      </w:r>
      <w:r w:rsidR="008F26D9">
        <w:rPr>
          <w:rFonts w:eastAsia="Yu Mincho"/>
          <w:lang w:eastAsia="zh-CN"/>
        </w:rPr>
        <w:t xml:space="preserve"> is FFS and possible options include being fixed to a single value or an RV pattern, or being RRC configured to a single value or an RV pattern.</w:t>
      </w:r>
      <w:r w:rsidR="000C0E66">
        <w:rPr>
          <w:rFonts w:eastAsia="Yu Mincho"/>
          <w:lang w:eastAsia="zh-CN"/>
        </w:rPr>
        <w:t xml:space="preserve"> </w:t>
      </w:r>
    </w:p>
    <w:p w:rsidR="00C70598" w:rsidRDefault="00F768DB" w:rsidP="00C70598">
      <w:pPr>
        <w:jc w:val="both"/>
      </w:pPr>
      <w:r>
        <w:rPr>
          <w:lang w:val="en-GB"/>
        </w:rPr>
        <w:t>Consequently, a</w:t>
      </w:r>
      <w:r w:rsidR="00BA6490">
        <w:rPr>
          <w:lang w:val="en-GB"/>
        </w:rPr>
        <w:t xml:space="preserve">ny RV </w:t>
      </w:r>
      <w:r w:rsidR="00C70598">
        <w:rPr>
          <w:lang w:val="en-GB"/>
        </w:rPr>
        <w:t>placement</w:t>
      </w:r>
      <w:r w:rsidR="00BA6490">
        <w:rPr>
          <w:lang w:val="en-GB"/>
        </w:rPr>
        <w:t xml:space="preserve"> and RV sequence </w:t>
      </w:r>
      <w:r w:rsidR="008F26D9">
        <w:rPr>
          <w:lang w:val="en-GB"/>
        </w:rPr>
        <w:t>agreed in the channel coding,</w:t>
      </w:r>
      <w:r w:rsidR="00BA6490">
        <w:rPr>
          <w:lang w:val="en-GB"/>
        </w:rPr>
        <w:t xml:space="preserve"> for retransmissions, e.g., for particular </w:t>
      </w:r>
      <w:r w:rsidR="00C70598">
        <w:rPr>
          <w:lang w:val="en-GB"/>
        </w:rPr>
        <w:t xml:space="preserve">initial transmission rates </w:t>
      </w:r>
      <w:r w:rsidR="00C70598">
        <w:t>(e.g. 0 1 x1 x2 for high rates, and 0 2 y1 y2)</w:t>
      </w:r>
      <w:r w:rsidR="00C70598">
        <w:rPr>
          <w:lang w:val="en-GB"/>
        </w:rPr>
        <w:t>, etc.</w:t>
      </w:r>
      <w:r w:rsidR="00BA6490">
        <w:rPr>
          <w:lang w:val="en-GB"/>
        </w:rPr>
        <w:t>, should be also considered in UL autonomous discussions.</w:t>
      </w:r>
      <w:r w:rsidR="00C70598">
        <w:rPr>
          <w:lang w:val="en-GB"/>
        </w:rPr>
        <w:t xml:space="preserve"> </w:t>
      </w:r>
      <w:r w:rsidR="00C70598">
        <w:t xml:space="preserve">In this case, RV cycling may also see some change i.e. the cycle may have to be explicitly indicated by </w:t>
      </w:r>
      <w:proofErr w:type="spellStart"/>
      <w:r w:rsidR="00C70598">
        <w:t>gNB</w:t>
      </w:r>
      <w:proofErr w:type="spellEnd"/>
      <w:r w:rsidR="00C70598">
        <w:t xml:space="preserve"> via </w:t>
      </w:r>
      <w:r w:rsidR="00C70598">
        <w:lastRenderedPageBreak/>
        <w:t xml:space="preserve">higher layers, along with MCS information. Generally, RV0 is still the best choice for the first transmission– so this can be used (or fixed) for paging, etc. For scheduling messages such as </w:t>
      </w:r>
      <w:r w:rsidR="000C0E66">
        <w:t>RMSI and other SI</w:t>
      </w:r>
      <w:r w:rsidR="00C70598">
        <w:t xml:space="preserve">, etc., a predefine cycle can be defined if the DCI does not have sufficient space for RVs. </w:t>
      </w:r>
    </w:p>
    <w:p w:rsidR="00DC78C9" w:rsidRPr="00717CCD" w:rsidRDefault="00DC78C9" w:rsidP="00DC78C9">
      <w:pPr>
        <w:pStyle w:val="Heading1"/>
        <w:numPr>
          <w:ilvl w:val="0"/>
          <w:numId w:val="1"/>
        </w:numPr>
        <w:ind w:left="360"/>
        <w:jc w:val="both"/>
        <w:textAlignment w:val="auto"/>
        <w:rPr>
          <w:sz w:val="32"/>
        </w:rPr>
      </w:pPr>
      <w:r w:rsidRPr="002E4504">
        <w:rPr>
          <w:sz w:val="32"/>
        </w:rPr>
        <w:t>Bit-priority modulation mapping</w:t>
      </w:r>
    </w:p>
    <w:p w:rsidR="00DC78C9" w:rsidRDefault="00A64326" w:rsidP="001E63B3">
      <w:pPr>
        <w:jc w:val="both"/>
      </w:pPr>
      <w:r>
        <w:t xml:space="preserve">In order to account for different level of </w:t>
      </w:r>
      <w:r w:rsidR="001E63B3">
        <w:t xml:space="preserve">reliabilities </w:t>
      </w:r>
      <w:r>
        <w:t>for the bits in a higher order modulation (e.g., 256QAM) symbol, one approach is to perform b</w:t>
      </w:r>
      <w:r w:rsidRPr="00062F19">
        <w:t>it interleaving for high order modulation</w:t>
      </w:r>
      <w:r>
        <w:t>. This can be done by grouping the bits according to their reliability and then distribute them evenly, before modulation mapping [6</w:t>
      </w:r>
      <w:r w:rsidR="009670D8">
        <w:t>]</w:t>
      </w:r>
      <w:proofErr w:type="gramStart"/>
      <w:r>
        <w:t>,</w:t>
      </w:r>
      <w:r w:rsidR="009670D8">
        <w:t>[</w:t>
      </w:r>
      <w:proofErr w:type="gramEnd"/>
      <w:r>
        <w:t>2].</w:t>
      </w:r>
    </w:p>
    <w:p w:rsidR="00A64326" w:rsidRPr="00F92988" w:rsidRDefault="00A64326" w:rsidP="004A0B3C">
      <w:pPr>
        <w:jc w:val="both"/>
      </w:pPr>
      <w:r>
        <w:t xml:space="preserve">Figure 5 shows the </w:t>
      </w:r>
      <w:r w:rsidR="00DB58DA">
        <w:t>throughput</w:t>
      </w:r>
      <w:r>
        <w:t xml:space="preserve"> evaluation over AWGN, for 256QAM, with and without such bit-priority interleaving as </w:t>
      </w:r>
      <w:r w:rsidR="00CA4994">
        <w:t xml:space="preserve">explained </w:t>
      </w:r>
      <w:r>
        <w:t>in [6].</w:t>
      </w:r>
      <w:r w:rsidR="00CA4994">
        <w:t xml:space="preserve"> As can be seen, there’s up to ~0.3dB gain with the </w:t>
      </w:r>
      <w:proofErr w:type="spellStart"/>
      <w:r w:rsidR="00CA4994">
        <w:t>interleaver</w:t>
      </w:r>
      <w:proofErr w:type="spellEnd"/>
      <w:r w:rsidR="00CA4994">
        <w:t xml:space="preserve"> for medium rates (e.g., 2/3). On the other hand, </w:t>
      </w:r>
      <w:r w:rsidR="00954E1F">
        <w:t>as</w:t>
      </w:r>
      <w:r w:rsidR="007A2176">
        <w:t xml:space="preserve"> also</w:t>
      </w:r>
      <w:r w:rsidR="00954E1F">
        <w:t xml:space="preserve"> discussed </w:t>
      </w:r>
      <w:r w:rsidR="00CA4994">
        <w:t>in our companion contribution</w:t>
      </w:r>
      <w:r w:rsidR="00954E1F">
        <w:t xml:space="preserve"> [7], </w:t>
      </w:r>
      <w:r w:rsidR="007A2176">
        <w:t xml:space="preserve">for the same SE, the </w:t>
      </w:r>
      <w:r w:rsidR="007A2176" w:rsidRPr="008A1F61">
        <w:t>higher rate</w:t>
      </w:r>
      <w:r w:rsidR="007A2176">
        <w:t xml:space="preserve"> with</w:t>
      </w:r>
      <w:r w:rsidR="007A2176" w:rsidRPr="008A1F61">
        <w:t xml:space="preserve"> lower </w:t>
      </w:r>
      <w:r w:rsidR="007A2176">
        <w:t>modulation order are more desirable, resulting in lower decoding latency for LDPC code</w:t>
      </w:r>
      <w:r w:rsidR="005B5CA1">
        <w:t xml:space="preserve">. </w:t>
      </w:r>
      <w:r w:rsidR="007A2176">
        <w:t xml:space="preserve">Hence, </w:t>
      </w:r>
      <w:r w:rsidR="004A0B3C">
        <w:t xml:space="preserve">the gain with plain bit-priority mapping may be limited. </w:t>
      </w:r>
    </w:p>
    <w:p w:rsidR="00DB58DA" w:rsidRDefault="00DB58DA" w:rsidP="00DB58DA">
      <w:pPr>
        <w:jc w:val="center"/>
        <w:rPr>
          <w:color w:val="767171" w:themeColor="background2" w:themeShade="80"/>
        </w:rPr>
      </w:pPr>
      <w:r w:rsidRPr="00DB58DA">
        <w:rPr>
          <w:noProof/>
          <w:color w:val="767171" w:themeColor="background2" w:themeShade="80"/>
        </w:rPr>
        <w:drawing>
          <wp:inline distT="0" distB="0" distL="0" distR="0">
            <wp:extent cx="3848100" cy="32444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l="7522" t="3207" r="8084" b="1963"/>
                    <a:stretch/>
                  </pic:blipFill>
                  <pic:spPr bwMode="auto">
                    <a:xfrm>
                      <a:off x="0" y="0"/>
                      <a:ext cx="3854535" cy="3249901"/>
                    </a:xfrm>
                    <a:prstGeom prst="rect">
                      <a:avLst/>
                    </a:prstGeom>
                    <a:noFill/>
                    <a:ln>
                      <a:noFill/>
                    </a:ln>
                    <a:extLst>
                      <a:ext uri="{53640926-AAD7-44D8-BBD7-CCE9431645EC}">
                        <a14:shadowObscured xmlns:a14="http://schemas.microsoft.com/office/drawing/2010/main"/>
                      </a:ext>
                    </a:extLst>
                  </pic:spPr>
                </pic:pic>
              </a:graphicData>
            </a:graphic>
          </wp:inline>
        </w:drawing>
      </w:r>
    </w:p>
    <w:p w:rsidR="00DB58DA" w:rsidRDefault="00DB58DA" w:rsidP="00A84E42">
      <w:pPr>
        <w:jc w:val="center"/>
        <w:rPr>
          <w:color w:val="767171" w:themeColor="background2" w:themeShade="80"/>
        </w:rPr>
      </w:pPr>
      <w:r>
        <w:rPr>
          <w:color w:val="767171" w:themeColor="background2" w:themeShade="80"/>
        </w:rPr>
        <w:t xml:space="preserve">Fig </w:t>
      </w:r>
      <w:r w:rsidR="005B1830">
        <w:rPr>
          <w:color w:val="767171" w:themeColor="background2" w:themeShade="80"/>
        </w:rPr>
        <w:t>5</w:t>
      </w:r>
      <w:r>
        <w:rPr>
          <w:color w:val="767171" w:themeColor="background2" w:themeShade="80"/>
        </w:rPr>
        <w:t>.</w:t>
      </w:r>
      <w:r w:rsidRPr="002821FA">
        <w:rPr>
          <w:color w:val="767171" w:themeColor="background2" w:themeShade="80"/>
        </w:rPr>
        <w:t xml:space="preserve"> Throughput vs SNR (dB) </w:t>
      </w:r>
      <w:r>
        <w:rPr>
          <w:color w:val="767171" w:themeColor="background2" w:themeShade="80"/>
        </w:rPr>
        <w:t>with 1 transmission with</w:t>
      </w:r>
      <w:r w:rsidR="00954E1F">
        <w:rPr>
          <w:color w:val="767171" w:themeColor="background2" w:themeShade="80"/>
        </w:rPr>
        <w:t xml:space="preserve"> and without bit-priority modulation mapping</w:t>
      </w:r>
      <w:r>
        <w:rPr>
          <w:color w:val="767171" w:themeColor="background2" w:themeShade="80"/>
        </w:rPr>
        <w:t>, for 256QAM, BG1</w:t>
      </w:r>
      <w:r w:rsidR="00CE00D1">
        <w:rPr>
          <w:color w:val="767171" w:themeColor="background2" w:themeShade="80"/>
        </w:rPr>
        <w:t xml:space="preserve">. </w:t>
      </w:r>
    </w:p>
    <w:p w:rsidR="00C81BA2" w:rsidRDefault="00C81BA2" w:rsidP="002A18C0">
      <w:pPr>
        <w:jc w:val="both"/>
      </w:pPr>
      <w:r>
        <w:t>However, if there is a bit-</w:t>
      </w:r>
      <w:proofErr w:type="spellStart"/>
      <w:r>
        <w:t>interleaver</w:t>
      </w:r>
      <w:proofErr w:type="spellEnd"/>
      <w:r>
        <w:t xml:space="preserve"> being specified, BPM can be taken into account (if gains are demonstrated with fading channel evaluations)</w:t>
      </w:r>
      <w:r w:rsidR="002A18C0">
        <w:t>,</w:t>
      </w:r>
      <w:r>
        <w:t xml:space="preserve"> though the gains may be limited to initial transmission with RV0 – for other transmissions (e.g. with RV&gt;0), it may be difficult to align the modulation symbol boundary exactly at wraparound in circular buffer, especially with non-zero number of filler bits. One way to align the symbol boundary is by adjusting the number of bits in the circular buffer for a code block to be aligned with the least common multiple</w:t>
      </w:r>
      <w:r w:rsidR="00582F1C">
        <w:t xml:space="preserve"> (LCM)</w:t>
      </w:r>
      <w:r>
        <w:t xml:space="preserve"> of the supported modulation orders (e.g. N</w:t>
      </w:r>
      <w:r w:rsidRPr="00961CF5">
        <w:rPr>
          <w:vertAlign w:val="subscript"/>
        </w:rPr>
        <w:t>CB</w:t>
      </w:r>
      <w:r>
        <w:t xml:space="preserve"> = 24 * </w:t>
      </w:r>
      <w:proofErr w:type="gramStart"/>
      <w:r>
        <w:t>floor(</w:t>
      </w:r>
      <w:proofErr w:type="gramEnd"/>
      <w:r>
        <w:t>66*Z/24)) and filler bits are</w:t>
      </w:r>
      <w:r w:rsidR="002A18C0" w:rsidRPr="002A18C0">
        <w:t xml:space="preserve"> </w:t>
      </w:r>
      <w:r w:rsidR="002A18C0">
        <w:t>also</w:t>
      </w:r>
      <w:r>
        <w:t xml:space="preserve"> aligned with LCM of supported modulation orders, while also requiring the RVs to also be defined appropriately (e.g. RV(</w:t>
      </w:r>
      <w:proofErr w:type="spellStart"/>
      <w:r>
        <w:t>i</w:t>
      </w:r>
      <w:proofErr w:type="spellEnd"/>
      <w:r>
        <w:t>) = N</w:t>
      </w:r>
      <w:r w:rsidRPr="00961CF5">
        <w:rPr>
          <w:vertAlign w:val="subscript"/>
        </w:rPr>
        <w:t>CB</w:t>
      </w:r>
      <w:r>
        <w:t>/4 *</w:t>
      </w:r>
      <w:proofErr w:type="spellStart"/>
      <w:r>
        <w:t>i</w:t>
      </w:r>
      <w:proofErr w:type="spellEnd"/>
      <w:r>
        <w:t xml:space="preserve">). </w:t>
      </w:r>
    </w:p>
    <w:p w:rsidR="003D3200" w:rsidRPr="00717CCD" w:rsidRDefault="00717CCD" w:rsidP="00453755">
      <w:pPr>
        <w:pStyle w:val="Heading1"/>
        <w:numPr>
          <w:ilvl w:val="0"/>
          <w:numId w:val="1"/>
        </w:numPr>
        <w:ind w:left="360"/>
        <w:jc w:val="both"/>
        <w:textAlignment w:val="auto"/>
        <w:rPr>
          <w:sz w:val="32"/>
        </w:rPr>
      </w:pPr>
      <w:r w:rsidRPr="00717CCD">
        <w:rPr>
          <w:sz w:val="32"/>
        </w:rPr>
        <w:t xml:space="preserve">Aspects </w:t>
      </w:r>
      <w:r w:rsidR="008609E5">
        <w:rPr>
          <w:sz w:val="32"/>
        </w:rPr>
        <w:t>Related</w:t>
      </w:r>
      <w:r w:rsidR="00453755">
        <w:rPr>
          <w:sz w:val="32"/>
        </w:rPr>
        <w:t xml:space="preserve"> to</w:t>
      </w:r>
      <w:r w:rsidRPr="00717CCD">
        <w:rPr>
          <w:sz w:val="32"/>
        </w:rPr>
        <w:t xml:space="preserve"> </w:t>
      </w:r>
      <w:proofErr w:type="spellStart"/>
      <w:r w:rsidR="00E67546">
        <w:rPr>
          <w:sz w:val="32"/>
        </w:rPr>
        <w:t>Tx</w:t>
      </w:r>
      <w:proofErr w:type="spellEnd"/>
      <w:r w:rsidR="00E67546">
        <w:rPr>
          <w:sz w:val="32"/>
        </w:rPr>
        <w:t xml:space="preserve"> Rate-matching</w:t>
      </w:r>
    </w:p>
    <w:p w:rsidR="007D4FF9" w:rsidRDefault="008475B0" w:rsidP="00807FDA">
      <w:pPr>
        <w:jc w:val="both"/>
        <w:rPr>
          <w:lang w:val="en-GB"/>
        </w:rPr>
      </w:pPr>
      <w:r>
        <w:rPr>
          <w:lang w:val="en-GB"/>
        </w:rPr>
        <w:t xml:space="preserve">In </w:t>
      </w:r>
      <w:r>
        <w:t>RAN1 NR AH#1</w:t>
      </w:r>
      <w:r>
        <w:rPr>
          <w:lang w:val="en-GB"/>
        </w:rPr>
        <w:t xml:space="preserve">, it was agreed that LBRM is supported and in RAN1#89 (Hangzhou), it was agreed in the HARQ and scheduling session that LBRM is taken into account in soft buffer computation. LBRM can be handled by limiting the circular buffer size corresponding to code blocks that belong to a large transport block. </w:t>
      </w:r>
    </w:p>
    <w:p w:rsidR="007D4FF9" w:rsidRPr="007D4FF9" w:rsidRDefault="001E77F7" w:rsidP="001E77F7">
      <w:pPr>
        <w:jc w:val="both"/>
        <w:rPr>
          <w:rFonts w:eastAsia="MS Mincho"/>
          <w:iCs/>
          <w:lang w:eastAsia="ja-JP"/>
        </w:rPr>
      </w:pPr>
      <w:r>
        <w:t>Also, i</w:t>
      </w:r>
      <w:r w:rsidR="007D4FF9">
        <w:t xml:space="preserve">n RAN1 #90, it was agreed that </w:t>
      </w:r>
      <w:r w:rsidR="007D4FF9" w:rsidRPr="00D612C5">
        <w:rPr>
          <w:rFonts w:eastAsia="MS Mincho"/>
          <w:iCs/>
          <w:lang w:eastAsia="ja-JP"/>
        </w:rPr>
        <w:t xml:space="preserve">NR specification should decouple the transmit (or RV) buffer from soft </w:t>
      </w:r>
      <w:r w:rsidR="007D4FF9">
        <w:rPr>
          <w:rFonts w:eastAsia="MS Mincho"/>
          <w:iCs/>
          <w:lang w:eastAsia="ja-JP"/>
        </w:rPr>
        <w:t>buffer size of the UE receiver, where</w:t>
      </w:r>
      <w:r w:rsidR="007D4FF9" w:rsidRPr="00D612C5">
        <w:rPr>
          <w:rFonts w:eastAsia="MS Mincho" w:hint="eastAsia"/>
          <w:iCs/>
          <w:lang w:eastAsia="ja-JP"/>
        </w:rPr>
        <w:t xml:space="preserve"> transmit (</w:t>
      </w:r>
      <w:r w:rsidR="007D4FF9" w:rsidRPr="00D612C5">
        <w:rPr>
          <w:rFonts w:eastAsia="MS Mincho"/>
          <w:iCs/>
          <w:lang w:eastAsia="ja-JP"/>
        </w:rPr>
        <w:t>or RV</w:t>
      </w:r>
      <w:r w:rsidR="007D4FF9" w:rsidRPr="00D612C5">
        <w:rPr>
          <w:rFonts w:eastAsia="MS Mincho" w:hint="eastAsia"/>
          <w:iCs/>
          <w:lang w:eastAsia="ja-JP"/>
        </w:rPr>
        <w:t>)</w:t>
      </w:r>
      <w:r w:rsidR="007D4FF9" w:rsidRPr="00D612C5">
        <w:rPr>
          <w:rFonts w:eastAsia="MS Mincho"/>
          <w:iCs/>
          <w:lang w:eastAsia="ja-JP"/>
        </w:rPr>
        <w:t xml:space="preserve"> buffer refers to the PDSCH rate-matching buffer</w:t>
      </w:r>
      <w:r w:rsidR="007D4FF9">
        <w:rPr>
          <w:rFonts w:eastAsia="MS Mincho"/>
          <w:iCs/>
          <w:lang w:eastAsia="ja-JP"/>
        </w:rPr>
        <w:t>.</w:t>
      </w:r>
    </w:p>
    <w:p w:rsidR="001E77F7" w:rsidRPr="004F500D" w:rsidRDefault="00E50BC7" w:rsidP="001E77F7">
      <w:pPr>
        <w:jc w:val="both"/>
        <w:rPr>
          <w:lang w:val="en-GB"/>
        </w:rPr>
      </w:pPr>
      <w:r>
        <w:rPr>
          <w:lang w:val="en-GB"/>
        </w:rPr>
        <w:lastRenderedPageBreak/>
        <w:t>T</w:t>
      </w:r>
      <w:r w:rsidR="008475B0">
        <w:rPr>
          <w:lang w:val="en-GB"/>
        </w:rPr>
        <w:t xml:space="preserve">he details of the UE soft buffer dimensioning are still under discussion in the HARQ/scheduling, </w:t>
      </w:r>
      <w:r>
        <w:rPr>
          <w:lang w:val="en-GB"/>
        </w:rPr>
        <w:t xml:space="preserve">and </w:t>
      </w:r>
      <w:r w:rsidR="008475B0">
        <w:rPr>
          <w:lang w:val="en-GB"/>
        </w:rPr>
        <w:t>we think that the LBRM and its association with UE category and soft buffer should be considered together. I</w:t>
      </w:r>
      <w:r w:rsidR="003D3200">
        <w:rPr>
          <w:lang w:val="en-GB"/>
        </w:rPr>
        <w:t xml:space="preserve">n particular, </w:t>
      </w:r>
      <w:r w:rsidR="001E77F7">
        <w:rPr>
          <w:lang w:val="en-GB"/>
        </w:rPr>
        <w:t>s</w:t>
      </w:r>
      <w:r w:rsidR="001E77F7" w:rsidRPr="001E77F7">
        <w:rPr>
          <w:lang w:val="en-GB"/>
        </w:rPr>
        <w:t>oft buffer requirements should be guided primarily by UE categories</w:t>
      </w:r>
      <w:r w:rsidR="001E77F7">
        <w:rPr>
          <w:lang w:val="en-GB"/>
        </w:rPr>
        <w:t>. We think the LBRM is an important factor that not only affects the UE complexity (from soft buffer perspective), but also facilitates latency reduction and would be an important considerations as RAN1 progresses on the UE processing times (N1/N2). As discussed in our companion contribution [5], s</w:t>
      </w:r>
      <w:r w:rsidR="001E77F7" w:rsidRPr="00445F4F">
        <w:rPr>
          <w:lang w:val="en-GB"/>
        </w:rPr>
        <w:t>oft buffer management for NR should left up to UE implementation to allow flexibility</w:t>
      </w:r>
      <w:r w:rsidR="001E77F7">
        <w:rPr>
          <w:lang w:val="en-GB"/>
        </w:rPr>
        <w:t xml:space="preserve">, and </w:t>
      </w:r>
      <w:r w:rsidR="001E77F7" w:rsidRPr="004F500D">
        <w:rPr>
          <w:lang w:val="en-GB"/>
        </w:rPr>
        <w:t xml:space="preserve">NR </w:t>
      </w:r>
      <w:r w:rsidR="001E77F7">
        <w:rPr>
          <w:lang w:val="en-GB"/>
        </w:rPr>
        <w:t>should support</w:t>
      </w:r>
      <w:r w:rsidR="001E77F7" w:rsidRPr="004F500D">
        <w:rPr>
          <w:lang w:val="en-GB"/>
        </w:rPr>
        <w:t xml:space="preserve"> HARQ buffer loading status reporting from the UE</w:t>
      </w:r>
      <w:r w:rsidR="001E77F7">
        <w:rPr>
          <w:lang w:val="en-GB"/>
        </w:rPr>
        <w:t>.</w:t>
      </w:r>
    </w:p>
    <w:p w:rsidR="00D4390D" w:rsidRDefault="001E77F7" w:rsidP="00D4390D">
      <w:pPr>
        <w:jc w:val="both"/>
      </w:pPr>
      <w:r>
        <w:rPr>
          <w:lang w:val="en-GB"/>
        </w:rPr>
        <w:t>F</w:t>
      </w:r>
      <w:r w:rsidR="008475B0">
        <w:rPr>
          <w:lang w:val="en-GB"/>
        </w:rPr>
        <w:t>or the downlink, LDPC decoding latency depends on the number of edges in the base graph – therefore, applying LBRM by simultaneously reduce both UE buffer complexity, as well as the decoding latency at peak</w:t>
      </w:r>
      <w:r w:rsidR="003D3200">
        <w:rPr>
          <w:lang w:val="en-GB"/>
        </w:rPr>
        <w:t xml:space="preserve"> data rates. Thus, similar to [3] and [4</w:t>
      </w:r>
      <w:r w:rsidR="008475B0">
        <w:rPr>
          <w:lang w:val="en-GB"/>
        </w:rPr>
        <w:t>], we propose that for downlink a limitation on the buffer should be explicitly captured.  This can be done by applying a limitation for rate-matching on the circular buffer based on e.g. a reference minimum coding rate (2/3) for the largest transport block size schedulable for the UE</w:t>
      </w:r>
      <w:r w:rsidR="00D4390D">
        <w:rPr>
          <w:lang w:val="en-GB"/>
        </w:rPr>
        <w:t xml:space="preserve"> (based on maximum TBS determined either by reference configuration in spec or by using band/band</w:t>
      </w:r>
      <w:r w:rsidR="001E63B3">
        <w:rPr>
          <w:lang w:val="en-GB"/>
        </w:rPr>
        <w:t xml:space="preserve"> </w:t>
      </w:r>
      <w:r w:rsidR="00D4390D">
        <w:rPr>
          <w:lang w:val="en-GB"/>
        </w:rPr>
        <w:t xml:space="preserve">combination signalling from the </w:t>
      </w:r>
      <w:proofErr w:type="spellStart"/>
      <w:r w:rsidR="00D4390D">
        <w:rPr>
          <w:lang w:val="en-GB"/>
        </w:rPr>
        <w:t>gNB</w:t>
      </w:r>
      <w:proofErr w:type="spellEnd"/>
      <w:r w:rsidR="00D4390D">
        <w:rPr>
          <w:lang w:val="en-GB"/>
        </w:rPr>
        <w:t xml:space="preserve"> based on UE capability)</w:t>
      </w:r>
      <w:r w:rsidR="008475B0">
        <w:rPr>
          <w:lang w:val="en-GB"/>
        </w:rPr>
        <w:t xml:space="preserve">. </w:t>
      </w:r>
      <w:r w:rsidR="00D4390D">
        <w:t>An example to determine the maximum TBS is shown below.</w:t>
      </w:r>
    </w:p>
    <w:p w:rsidR="00D4390D" w:rsidRDefault="00D4390D" w:rsidP="00D4390D">
      <w:pPr>
        <w:pStyle w:val="ListParagraph"/>
        <w:numPr>
          <w:ilvl w:val="0"/>
          <w:numId w:val="12"/>
        </w:numPr>
        <w:spacing w:after="160" w:line="259" w:lineRule="auto"/>
        <w:contextualSpacing/>
        <w:jc w:val="both"/>
        <w:rPr>
          <w:rFonts w:ascii="Times New Roman" w:hAnsi="Times New Roman"/>
          <w:sz w:val="20"/>
          <w:szCs w:val="20"/>
        </w:rPr>
      </w:pPr>
      <w:r>
        <w:rPr>
          <w:rFonts w:ascii="Times New Roman" w:hAnsi="Times New Roman"/>
          <w:sz w:val="20"/>
          <w:szCs w:val="20"/>
        </w:rPr>
        <w:t xml:space="preserve">SCS of 30 kHz, BW of 100 MHz, 1 symbol for control, 1 symbol for DMRS, and single CW with 4-layers, and 96% BW occupancy, max </w:t>
      </w:r>
      <w:proofErr w:type="spellStart"/>
      <w:r>
        <w:rPr>
          <w:rFonts w:ascii="Times New Roman" w:hAnsi="Times New Roman"/>
          <w:sz w:val="20"/>
          <w:szCs w:val="20"/>
        </w:rPr>
        <w:t>Qm</w:t>
      </w:r>
      <w:proofErr w:type="spellEnd"/>
      <w:r>
        <w:rPr>
          <w:rFonts w:ascii="Times New Roman" w:hAnsi="Times New Roman"/>
          <w:sz w:val="20"/>
          <w:szCs w:val="20"/>
        </w:rPr>
        <w:t xml:space="preserve"> = 8, and max R = 94/100 </w:t>
      </w:r>
    </w:p>
    <w:p w:rsidR="00D4390D" w:rsidRPr="00961CF5" w:rsidRDefault="00D4390D" w:rsidP="00D4390D">
      <w:pPr>
        <w:pStyle w:val="ListParagraph"/>
        <w:numPr>
          <w:ilvl w:val="1"/>
          <w:numId w:val="12"/>
        </w:numPr>
        <w:spacing w:after="160" w:line="259" w:lineRule="auto"/>
        <w:contextualSpacing/>
        <w:jc w:val="both"/>
        <w:rPr>
          <w:rFonts w:ascii="Times New Roman" w:hAnsi="Times New Roman"/>
          <w:sz w:val="20"/>
          <w:szCs w:val="20"/>
        </w:rPr>
      </w:pPr>
      <w:r>
        <w:rPr>
          <w:rFonts w:ascii="Times New Roman" w:hAnsi="Times New Roman"/>
          <w:sz w:val="20"/>
          <w:szCs w:val="20"/>
        </w:rPr>
        <w:t xml:space="preserve">Max TBS ~  (8 x 94/100) x (12 x 0.96 x 3300)x 4 = </w:t>
      </w:r>
      <w:r w:rsidRPr="00A065DA">
        <w:rPr>
          <w:rFonts w:ascii="Times New Roman" w:hAnsi="Times New Roman"/>
          <w:sz w:val="20"/>
          <w:szCs w:val="20"/>
        </w:rPr>
        <w:t>1</w:t>
      </w:r>
      <w:r>
        <w:rPr>
          <w:rFonts w:ascii="Times New Roman" w:hAnsi="Times New Roman"/>
          <w:sz w:val="20"/>
          <w:szCs w:val="20"/>
        </w:rPr>
        <w:t>,</w:t>
      </w:r>
      <w:r w:rsidRPr="00A065DA">
        <w:rPr>
          <w:rFonts w:ascii="Times New Roman" w:hAnsi="Times New Roman"/>
          <w:sz w:val="20"/>
          <w:szCs w:val="20"/>
        </w:rPr>
        <w:t>143</w:t>
      </w:r>
      <w:r>
        <w:rPr>
          <w:rFonts w:ascii="Times New Roman" w:hAnsi="Times New Roman"/>
          <w:sz w:val="20"/>
          <w:szCs w:val="20"/>
        </w:rPr>
        <w:t>,</w:t>
      </w:r>
      <w:r w:rsidRPr="00A065DA">
        <w:rPr>
          <w:rFonts w:ascii="Times New Roman" w:hAnsi="Times New Roman"/>
          <w:sz w:val="20"/>
          <w:szCs w:val="20"/>
        </w:rPr>
        <w:t>520</w:t>
      </w:r>
      <w:r>
        <w:rPr>
          <w:rFonts w:ascii="Times New Roman" w:hAnsi="Times New Roman"/>
          <w:sz w:val="20"/>
          <w:szCs w:val="20"/>
        </w:rPr>
        <w:t xml:space="preserve">  ~ 135 code blocks with BG1 (max CBS of 8448)</w:t>
      </w:r>
    </w:p>
    <w:p w:rsidR="008475B0" w:rsidRDefault="008475B0" w:rsidP="006400AD">
      <w:pPr>
        <w:jc w:val="both"/>
        <w:rPr>
          <w:b/>
        </w:rPr>
      </w:pPr>
      <w:r w:rsidRPr="005F320A">
        <w:rPr>
          <w:b/>
        </w:rPr>
        <w:t xml:space="preserve">Proposal </w:t>
      </w:r>
      <w:r w:rsidR="006400AD">
        <w:rPr>
          <w:b/>
        </w:rPr>
        <w:t>3</w:t>
      </w:r>
      <w:r w:rsidRPr="005F320A">
        <w:rPr>
          <w:b/>
        </w:rPr>
        <w:t xml:space="preserve">: </w:t>
      </w:r>
      <w:r>
        <w:rPr>
          <w:b/>
        </w:rPr>
        <w:t>For the downlink transmission, limitation on the circular buffer is applied based on a reference minimum coding rate for the largest transport block schedulable for the UE</w:t>
      </w:r>
      <w:r w:rsidR="00E67546">
        <w:rPr>
          <w:b/>
        </w:rPr>
        <w:t>.</w:t>
      </w:r>
    </w:p>
    <w:p w:rsidR="008475B0" w:rsidRPr="000349E0" w:rsidRDefault="008475B0" w:rsidP="00807FDA">
      <w:pPr>
        <w:pStyle w:val="Heading1"/>
        <w:numPr>
          <w:ilvl w:val="0"/>
          <w:numId w:val="1"/>
        </w:numPr>
        <w:ind w:left="360"/>
        <w:jc w:val="both"/>
        <w:textAlignment w:val="auto"/>
        <w:rPr>
          <w:sz w:val="32"/>
        </w:rPr>
      </w:pPr>
      <w:r w:rsidRPr="000349E0">
        <w:rPr>
          <w:sz w:val="32"/>
        </w:rPr>
        <w:t>Summary</w:t>
      </w:r>
    </w:p>
    <w:p w:rsidR="008475B0" w:rsidRPr="0041111E" w:rsidRDefault="008475B0" w:rsidP="00804CD4">
      <w:pPr>
        <w:spacing w:before="240"/>
        <w:jc w:val="both"/>
        <w:rPr>
          <w:lang w:val="en-GB"/>
        </w:rPr>
      </w:pPr>
      <w:r w:rsidRPr="0041111E">
        <w:rPr>
          <w:lang w:val="en-GB"/>
        </w:rPr>
        <w:t xml:space="preserve">This document presented our views on LDPC </w:t>
      </w:r>
      <w:r>
        <w:rPr>
          <w:lang w:val="en-GB"/>
        </w:rPr>
        <w:t>rate-matching</w:t>
      </w:r>
      <w:r w:rsidRPr="0041111E">
        <w:rPr>
          <w:lang w:val="en-GB"/>
        </w:rPr>
        <w:t>.</w:t>
      </w:r>
    </w:p>
    <w:p w:rsidR="005F6F0B" w:rsidRDefault="005F6F0B" w:rsidP="005F6F0B">
      <w:pPr>
        <w:jc w:val="both"/>
        <w:rPr>
          <w:b/>
        </w:rPr>
      </w:pPr>
      <w:r w:rsidRPr="005F320A">
        <w:rPr>
          <w:b/>
        </w:rPr>
        <w:t xml:space="preserve">Proposal </w:t>
      </w:r>
      <w:r>
        <w:rPr>
          <w:b/>
        </w:rPr>
        <w:t>1</w:t>
      </w:r>
      <w:r w:rsidRPr="005F320A">
        <w:rPr>
          <w:b/>
        </w:rPr>
        <w:t xml:space="preserve">: </w:t>
      </w:r>
      <w:r>
        <w:rPr>
          <w:b/>
        </w:rPr>
        <w:t>The redundancy versions are equally spaced within the circular buffer.</w:t>
      </w:r>
    </w:p>
    <w:p w:rsidR="005F6F0B" w:rsidRDefault="005F6F0B" w:rsidP="005F6F0B">
      <w:pPr>
        <w:jc w:val="both"/>
        <w:rPr>
          <w:b/>
        </w:rPr>
      </w:pPr>
      <w:r w:rsidRPr="005F320A">
        <w:rPr>
          <w:b/>
        </w:rPr>
        <w:t xml:space="preserve">Proposal </w:t>
      </w:r>
      <w:r>
        <w:rPr>
          <w:b/>
        </w:rPr>
        <w:t>2</w:t>
      </w:r>
      <w:r w:rsidRPr="005F320A">
        <w:rPr>
          <w:b/>
        </w:rPr>
        <w:t xml:space="preserve">: </w:t>
      </w:r>
      <w:r>
        <w:rPr>
          <w:b/>
        </w:rPr>
        <w:t>If self-</w:t>
      </w:r>
      <w:proofErr w:type="spellStart"/>
      <w:r>
        <w:rPr>
          <w:b/>
        </w:rPr>
        <w:t>decodability</w:t>
      </w:r>
      <w:proofErr w:type="spellEnd"/>
      <w:r>
        <w:rPr>
          <w:b/>
        </w:rPr>
        <w:t xml:space="preserve"> of RV other than 0 is considered essential for NR, at least one RV greater than 0 can be defined on a permuted circular buffer. </w:t>
      </w:r>
    </w:p>
    <w:p w:rsidR="008475B0" w:rsidRDefault="00F92988" w:rsidP="006400AD">
      <w:pPr>
        <w:jc w:val="both"/>
        <w:rPr>
          <w:b/>
        </w:rPr>
      </w:pPr>
      <w:r w:rsidRPr="005F320A">
        <w:rPr>
          <w:b/>
        </w:rPr>
        <w:t xml:space="preserve">Proposal </w:t>
      </w:r>
      <w:r>
        <w:rPr>
          <w:b/>
        </w:rPr>
        <w:t>3</w:t>
      </w:r>
      <w:r w:rsidRPr="005F320A">
        <w:rPr>
          <w:b/>
        </w:rPr>
        <w:t xml:space="preserve">: </w:t>
      </w:r>
      <w:r>
        <w:rPr>
          <w:b/>
        </w:rPr>
        <w:t>For the downlink transmission, limitation on the circular buffer is applied based on a reference minimum coding rate for the largest transport block schedulable for the UE</w:t>
      </w:r>
      <w:r w:rsidR="005F6F0B">
        <w:rPr>
          <w:b/>
        </w:rPr>
        <w:t>.</w:t>
      </w:r>
      <w:r w:rsidRPr="005F320A" w:rsidDel="00F92988">
        <w:rPr>
          <w:b/>
        </w:rPr>
        <w:t xml:space="preserve"> </w:t>
      </w:r>
    </w:p>
    <w:p w:rsidR="008475B0" w:rsidRPr="00D37FC5" w:rsidRDefault="008475B0" w:rsidP="00807FDA">
      <w:pPr>
        <w:pStyle w:val="Heading1"/>
        <w:numPr>
          <w:ilvl w:val="0"/>
          <w:numId w:val="1"/>
        </w:numPr>
        <w:ind w:left="360"/>
        <w:jc w:val="both"/>
        <w:textAlignment w:val="auto"/>
        <w:rPr>
          <w:sz w:val="32"/>
        </w:rPr>
      </w:pPr>
      <w:r w:rsidRPr="00D37FC5">
        <w:rPr>
          <w:sz w:val="32"/>
        </w:rPr>
        <w:t>References</w:t>
      </w:r>
    </w:p>
    <w:p w:rsidR="008475B0" w:rsidRDefault="008475B0" w:rsidP="001E63B3">
      <w:pPr>
        <w:spacing w:after="0"/>
        <w:jc w:val="both"/>
        <w:rPr>
          <w:rFonts w:eastAsia="MS Mincho"/>
          <w:iCs/>
          <w:lang w:eastAsia="ja-JP"/>
        </w:rPr>
      </w:pPr>
      <w:r>
        <w:rPr>
          <w:rFonts w:eastAsia="MS Mincho"/>
          <w:lang w:eastAsia="ja-JP"/>
        </w:rPr>
        <w:t>[1</w:t>
      </w:r>
      <w:r w:rsidRPr="002E3CCB">
        <w:rPr>
          <w:rFonts w:eastAsia="MS Mincho"/>
          <w:iCs/>
          <w:lang w:eastAsia="ja-JP"/>
        </w:rPr>
        <w:t xml:space="preserve">] </w:t>
      </w:r>
      <w:r w:rsidR="002E3CCB" w:rsidRPr="002E3CCB">
        <w:rPr>
          <w:rFonts w:eastAsia="MS Mincho"/>
          <w:iCs/>
          <w:lang w:eastAsia="ja-JP"/>
        </w:rPr>
        <w:t>R1-1714375</w:t>
      </w:r>
      <w:r w:rsidR="002E3CCB" w:rsidRPr="00C42652">
        <w:rPr>
          <w:rFonts w:eastAsia="MS Mincho"/>
          <w:iCs/>
          <w:lang w:eastAsia="ja-JP"/>
        </w:rPr>
        <w:tab/>
      </w:r>
      <w:r w:rsidR="002E3CCB" w:rsidRPr="002E3CCB">
        <w:rPr>
          <w:rFonts w:eastAsia="MS Mincho"/>
          <w:iCs/>
          <w:lang w:eastAsia="ja-JP"/>
        </w:rPr>
        <w:t>Rate matching for LDPC</w:t>
      </w:r>
      <w:r w:rsidR="002E3CCB" w:rsidRPr="00C42652">
        <w:rPr>
          <w:rFonts w:eastAsia="MS Mincho"/>
          <w:iCs/>
          <w:lang w:eastAsia="ja-JP"/>
        </w:rPr>
        <w:tab/>
      </w:r>
      <w:bookmarkStart w:id="1" w:name="OLE_LINK2"/>
      <w:bookmarkStart w:id="2" w:name="OLE_LINK1"/>
      <w:r w:rsidR="00756137" w:rsidRPr="00756137">
        <w:rPr>
          <w:rFonts w:eastAsia="MS Mincho"/>
          <w:iCs/>
          <w:lang w:eastAsia="ja-JP"/>
        </w:rPr>
        <w:t>Nokia</w:t>
      </w:r>
      <w:bookmarkEnd w:id="1"/>
      <w:bookmarkEnd w:id="2"/>
      <w:r w:rsidR="00756137" w:rsidRPr="00756137">
        <w:rPr>
          <w:rFonts w:eastAsia="MS Mincho"/>
          <w:iCs/>
          <w:lang w:eastAsia="ja-JP"/>
        </w:rPr>
        <w:t>, Nokia Shanghai Bell</w:t>
      </w:r>
      <w:r w:rsidR="002E3CCB">
        <w:rPr>
          <w:rFonts w:eastAsia="MS Mincho"/>
          <w:iCs/>
          <w:lang w:eastAsia="ja-JP"/>
        </w:rPr>
        <w:t>, #90 Aug 2017</w:t>
      </w:r>
    </w:p>
    <w:p w:rsidR="008D61EA" w:rsidRDefault="008D61EA" w:rsidP="001E63B3">
      <w:pPr>
        <w:spacing w:after="0"/>
        <w:jc w:val="both"/>
        <w:rPr>
          <w:rFonts w:eastAsia="MS Mincho"/>
          <w:iCs/>
          <w:lang w:eastAsia="ja-JP"/>
        </w:rPr>
      </w:pPr>
      <w:r>
        <w:rPr>
          <w:rFonts w:eastAsia="MS Mincho"/>
          <w:iCs/>
          <w:lang w:eastAsia="ja-JP"/>
        </w:rPr>
        <w:t xml:space="preserve">[2] </w:t>
      </w:r>
      <w:r w:rsidR="007E64B3" w:rsidRPr="007E64B3">
        <w:rPr>
          <w:rFonts w:eastAsia="MS Mincho"/>
          <w:iCs/>
          <w:lang w:eastAsia="ja-JP"/>
        </w:rPr>
        <w:t>R1-</w:t>
      </w:r>
      <w:proofErr w:type="gramStart"/>
      <w:r w:rsidR="007E64B3" w:rsidRPr="007E64B3">
        <w:rPr>
          <w:rFonts w:eastAsia="MS Mincho"/>
          <w:iCs/>
          <w:lang w:eastAsia="ja-JP"/>
        </w:rPr>
        <w:t>1713462  LDPC</w:t>
      </w:r>
      <w:proofErr w:type="gramEnd"/>
      <w:r w:rsidR="007E64B3" w:rsidRPr="007E64B3">
        <w:rPr>
          <w:rFonts w:eastAsia="MS Mincho"/>
          <w:iCs/>
          <w:lang w:eastAsia="ja-JP"/>
        </w:rPr>
        <w:t xml:space="preserve"> Rate Matching  Qualcomm Corp, #90 Aug 2017</w:t>
      </w:r>
    </w:p>
    <w:p w:rsidR="003D3200" w:rsidRDefault="003D3200" w:rsidP="001E63B3">
      <w:pPr>
        <w:spacing w:after="0"/>
        <w:rPr>
          <w:rFonts w:eastAsia="MS Mincho"/>
          <w:iCs/>
          <w:lang w:eastAsia="ja-JP"/>
        </w:rPr>
      </w:pPr>
      <w:r>
        <w:rPr>
          <w:rFonts w:eastAsia="MS Mincho"/>
          <w:lang w:eastAsia="ja-JP"/>
        </w:rPr>
        <w:t xml:space="preserve">[3] </w:t>
      </w:r>
      <w:r>
        <w:t>R1-1713450</w:t>
      </w:r>
      <w:r>
        <w:rPr>
          <w:rFonts w:eastAsia="MS Mincho"/>
          <w:iCs/>
          <w:lang w:eastAsia="ja-JP"/>
        </w:rPr>
        <w:tab/>
        <w:t>Considerations for soft buffer management</w:t>
      </w:r>
      <w:r>
        <w:rPr>
          <w:rFonts w:eastAsia="MS Mincho"/>
          <w:iCs/>
          <w:lang w:eastAsia="ja-JP"/>
        </w:rPr>
        <w:tab/>
        <w:t>Qualcomm Incorporated, #90 Aug 2017</w:t>
      </w:r>
    </w:p>
    <w:p w:rsidR="008475B0" w:rsidRDefault="003D3200" w:rsidP="001E63B3">
      <w:pPr>
        <w:spacing w:after="0"/>
        <w:rPr>
          <w:rFonts w:eastAsia="MS Mincho"/>
          <w:iCs/>
          <w:lang w:eastAsia="ja-JP"/>
        </w:rPr>
      </w:pPr>
      <w:r w:rsidRPr="003D3200">
        <w:rPr>
          <w:rFonts w:eastAsia="MS Mincho"/>
          <w:iCs/>
          <w:lang w:eastAsia="ja-JP"/>
        </w:rPr>
        <w:t>[4]</w:t>
      </w:r>
      <w:r w:rsidRPr="003D3200">
        <w:t xml:space="preserve"> </w:t>
      </w:r>
      <w:r w:rsidR="002E3CCB" w:rsidRPr="003D3200">
        <w:rPr>
          <w:rFonts w:eastAsia="MS Mincho"/>
          <w:iCs/>
          <w:lang w:eastAsia="ja-JP"/>
        </w:rPr>
        <w:t>R1-1712176</w:t>
      </w:r>
      <w:r w:rsidR="002E3CCB" w:rsidRPr="003D3200">
        <w:rPr>
          <w:rFonts w:eastAsia="MS Mincho"/>
          <w:iCs/>
          <w:lang w:eastAsia="ja-JP"/>
        </w:rPr>
        <w:tab/>
        <w:t>Rate matching for LDPC codes</w:t>
      </w:r>
      <w:r w:rsidR="002E3CCB" w:rsidRPr="003D3200">
        <w:rPr>
          <w:rFonts w:eastAsia="MS Mincho"/>
          <w:iCs/>
          <w:lang w:eastAsia="ja-JP"/>
        </w:rPr>
        <w:tab/>
        <w:t xml:space="preserve">Huawei, </w:t>
      </w:r>
      <w:proofErr w:type="spellStart"/>
      <w:r w:rsidR="002E3CCB" w:rsidRPr="003D3200">
        <w:rPr>
          <w:rFonts w:eastAsia="MS Mincho"/>
          <w:iCs/>
          <w:lang w:eastAsia="ja-JP"/>
        </w:rPr>
        <w:t>HiSilicon</w:t>
      </w:r>
      <w:proofErr w:type="spellEnd"/>
      <w:r w:rsidR="002E3CCB" w:rsidRPr="003D3200">
        <w:rPr>
          <w:rFonts w:eastAsia="MS Mincho"/>
          <w:iCs/>
          <w:lang w:eastAsia="ja-JP"/>
        </w:rPr>
        <w:t xml:space="preserve">, </w:t>
      </w:r>
      <w:proofErr w:type="gramStart"/>
      <w:r w:rsidR="002E3CCB" w:rsidRPr="003D3200">
        <w:rPr>
          <w:rFonts w:eastAsia="MS Mincho"/>
          <w:iCs/>
          <w:lang w:eastAsia="ja-JP"/>
        </w:rPr>
        <w:t>#</w:t>
      </w:r>
      <w:proofErr w:type="gramEnd"/>
      <w:r w:rsidR="002E3CCB" w:rsidRPr="003D3200">
        <w:rPr>
          <w:rFonts w:eastAsia="MS Mincho"/>
          <w:iCs/>
          <w:lang w:eastAsia="ja-JP"/>
        </w:rPr>
        <w:t>90 Aug 2017</w:t>
      </w:r>
    </w:p>
    <w:p w:rsidR="00445F4F" w:rsidRPr="003D3200" w:rsidRDefault="00445F4F" w:rsidP="001E63B3">
      <w:pPr>
        <w:spacing w:after="0"/>
        <w:rPr>
          <w:rFonts w:eastAsia="MS Mincho"/>
          <w:iCs/>
          <w:lang w:eastAsia="ja-JP"/>
        </w:rPr>
      </w:pPr>
      <w:r>
        <w:rPr>
          <w:rFonts w:eastAsia="MS Mincho"/>
          <w:iCs/>
          <w:lang w:eastAsia="ja-JP"/>
        </w:rPr>
        <w:t>[5] R1-</w:t>
      </w:r>
      <w:r w:rsidRPr="00445F4F">
        <w:t xml:space="preserve"> </w:t>
      </w:r>
      <w:proofErr w:type="gramStart"/>
      <w:r w:rsidRPr="00445F4F">
        <w:rPr>
          <w:rFonts w:eastAsia="MS Mincho"/>
          <w:iCs/>
          <w:lang w:eastAsia="ja-JP"/>
        </w:rPr>
        <w:t xml:space="preserve">1716324 </w:t>
      </w:r>
      <w:r>
        <w:rPr>
          <w:rFonts w:eastAsia="MS Mincho"/>
          <w:iCs/>
          <w:lang w:eastAsia="ja-JP"/>
        </w:rPr>
        <w:t xml:space="preserve"> </w:t>
      </w:r>
      <w:r w:rsidRPr="00445F4F">
        <w:rPr>
          <w:rFonts w:eastAsia="MS Mincho"/>
          <w:iCs/>
          <w:lang w:eastAsia="ja-JP"/>
        </w:rPr>
        <w:t>Soft</w:t>
      </w:r>
      <w:proofErr w:type="gramEnd"/>
      <w:r w:rsidRPr="00445F4F">
        <w:rPr>
          <w:rFonts w:eastAsia="MS Mincho"/>
          <w:iCs/>
          <w:lang w:eastAsia="ja-JP"/>
        </w:rPr>
        <w:t>-buffer management</w:t>
      </w:r>
      <w:r>
        <w:rPr>
          <w:rFonts w:eastAsia="MS Mincho"/>
          <w:iCs/>
          <w:lang w:eastAsia="ja-JP"/>
        </w:rPr>
        <w:t xml:space="preserve">         Intel Corporation, NR AH#3 Sept 2017</w:t>
      </w:r>
    </w:p>
    <w:p w:rsidR="00AD1F7D" w:rsidRDefault="00A64326" w:rsidP="001E63B3">
      <w:pPr>
        <w:spacing w:after="0"/>
        <w:jc w:val="both"/>
        <w:rPr>
          <w:rFonts w:eastAsia="MS Mincho"/>
          <w:iCs/>
          <w:lang w:eastAsia="ja-JP"/>
        </w:rPr>
      </w:pPr>
      <w:r>
        <w:rPr>
          <w:lang w:val="en-GB"/>
        </w:rPr>
        <w:t xml:space="preserve">[6] </w:t>
      </w:r>
      <w:r w:rsidRPr="00062F19">
        <w:rPr>
          <w:rFonts w:eastAsia="MS Mincho"/>
          <w:iCs/>
          <w:lang w:eastAsia="ja-JP"/>
        </w:rPr>
        <w:t>R1-1713230 On interleaving for LDPC code           ZTE</w:t>
      </w:r>
      <w:r w:rsidRPr="003D3200">
        <w:rPr>
          <w:rFonts w:eastAsia="MS Mincho"/>
          <w:iCs/>
          <w:lang w:eastAsia="ja-JP"/>
        </w:rPr>
        <w:t xml:space="preserve">, </w:t>
      </w:r>
      <w:proofErr w:type="spellStart"/>
      <w:r w:rsidRPr="003D3200">
        <w:rPr>
          <w:rFonts w:eastAsia="MS Mincho"/>
          <w:iCs/>
          <w:lang w:eastAsia="ja-JP"/>
        </w:rPr>
        <w:t>HiSilicon</w:t>
      </w:r>
      <w:proofErr w:type="spellEnd"/>
      <w:r w:rsidRPr="003D3200">
        <w:rPr>
          <w:rFonts w:eastAsia="MS Mincho"/>
          <w:iCs/>
          <w:lang w:eastAsia="ja-JP"/>
        </w:rPr>
        <w:t xml:space="preserve">, </w:t>
      </w:r>
      <w:proofErr w:type="gramStart"/>
      <w:r w:rsidRPr="003D3200">
        <w:rPr>
          <w:rFonts w:eastAsia="MS Mincho"/>
          <w:iCs/>
          <w:lang w:eastAsia="ja-JP"/>
        </w:rPr>
        <w:t>#</w:t>
      </w:r>
      <w:proofErr w:type="gramEnd"/>
      <w:r w:rsidRPr="003D3200">
        <w:rPr>
          <w:rFonts w:eastAsia="MS Mincho"/>
          <w:iCs/>
          <w:lang w:eastAsia="ja-JP"/>
        </w:rPr>
        <w:t>90 Aug 2017</w:t>
      </w:r>
    </w:p>
    <w:p w:rsidR="00CA4994" w:rsidRDefault="00CA4994" w:rsidP="001E63B3">
      <w:pPr>
        <w:spacing w:after="0"/>
        <w:rPr>
          <w:rFonts w:eastAsia="MS Mincho"/>
          <w:iCs/>
          <w:lang w:eastAsia="ja-JP"/>
        </w:rPr>
      </w:pPr>
      <w:r>
        <w:rPr>
          <w:rFonts w:eastAsia="MS Mincho"/>
          <w:iCs/>
          <w:lang w:eastAsia="ja-JP"/>
        </w:rPr>
        <w:t>[7] R1-</w:t>
      </w:r>
      <w:r w:rsidRPr="00062F19">
        <w:rPr>
          <w:rFonts w:eastAsia="MS Mincho"/>
          <w:iCs/>
          <w:lang w:eastAsia="ja-JP"/>
        </w:rPr>
        <w:t>1716296 CQI and MCS Design for NR</w:t>
      </w:r>
      <w:r>
        <w:rPr>
          <w:rFonts w:eastAsia="MS Mincho"/>
          <w:iCs/>
          <w:lang w:eastAsia="ja-JP"/>
        </w:rPr>
        <w:t xml:space="preserve">         Intel Corporation, NR AH#3 Sept 2017</w:t>
      </w:r>
    </w:p>
    <w:p w:rsidR="00E67546" w:rsidRPr="003D3200" w:rsidRDefault="00E67546" w:rsidP="001E63B3">
      <w:pPr>
        <w:spacing w:after="0"/>
        <w:rPr>
          <w:rFonts w:eastAsia="MS Mincho"/>
          <w:iCs/>
          <w:lang w:eastAsia="ja-JP"/>
        </w:rPr>
      </w:pPr>
    </w:p>
    <w:p w:rsidR="00CA4994" w:rsidRDefault="00CA4994" w:rsidP="00A64326">
      <w:pPr>
        <w:jc w:val="both"/>
        <w:rPr>
          <w:lang w:val="en-GB"/>
        </w:rPr>
      </w:pPr>
    </w:p>
    <w:p w:rsidR="008475B0" w:rsidRPr="00AD1F7D" w:rsidRDefault="00AD1F7D" w:rsidP="00AD1F7D">
      <w:pPr>
        <w:pStyle w:val="Heading1"/>
        <w:numPr>
          <w:ilvl w:val="0"/>
          <w:numId w:val="1"/>
        </w:numPr>
        <w:ind w:left="360"/>
        <w:jc w:val="both"/>
        <w:textAlignment w:val="auto"/>
        <w:rPr>
          <w:rFonts w:eastAsia="MS Mincho"/>
          <w:iCs/>
          <w:lang w:eastAsia="ja-JP"/>
        </w:rPr>
      </w:pPr>
      <w:r w:rsidRPr="00AD1F7D">
        <w:rPr>
          <w:sz w:val="32"/>
        </w:rPr>
        <w:lastRenderedPageBreak/>
        <w:t>Annex</w:t>
      </w:r>
    </w:p>
    <w:p w:rsidR="00AD1F7D" w:rsidRDefault="00AD1F7D" w:rsidP="00AD1F7D">
      <w:pPr>
        <w:jc w:val="center"/>
      </w:pPr>
      <w:r w:rsidRPr="00D0536D">
        <w:rPr>
          <w:noProof/>
        </w:rPr>
        <w:drawing>
          <wp:inline distT="0" distB="0" distL="0" distR="0" wp14:anchorId="76B5B0DB" wp14:editId="334EBFBD">
            <wp:extent cx="3949713" cy="33242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3">
                      <a:extLst>
                        <a:ext uri="{28A0092B-C50C-407E-A947-70E740481C1C}">
                          <a14:useLocalDpi xmlns:a14="http://schemas.microsoft.com/office/drawing/2010/main" val="0"/>
                        </a:ext>
                      </a:extLst>
                    </a:blip>
                    <a:srcRect l="7371" t="3984" r="8091" b="3466"/>
                    <a:stretch/>
                  </pic:blipFill>
                  <pic:spPr bwMode="auto">
                    <a:xfrm>
                      <a:off x="0" y="0"/>
                      <a:ext cx="3955283" cy="3328913"/>
                    </a:xfrm>
                    <a:prstGeom prst="rect">
                      <a:avLst/>
                    </a:prstGeom>
                    <a:noFill/>
                    <a:ln>
                      <a:noFill/>
                    </a:ln>
                    <a:extLst>
                      <a:ext uri="{53640926-AAD7-44D8-BBD7-CCE9431645EC}">
                        <a14:shadowObscured xmlns:a14="http://schemas.microsoft.com/office/drawing/2010/main"/>
                      </a:ext>
                    </a:extLst>
                  </pic:spPr>
                </pic:pic>
              </a:graphicData>
            </a:graphic>
          </wp:inline>
        </w:drawing>
      </w:r>
    </w:p>
    <w:p w:rsidR="002F3778" w:rsidRDefault="00AD1F7D" w:rsidP="00A84E42">
      <w:pPr>
        <w:jc w:val="center"/>
      </w:pPr>
      <w:r>
        <w:rPr>
          <w:color w:val="767171" w:themeColor="background2" w:themeShade="80"/>
        </w:rPr>
        <w:t xml:space="preserve">Fig </w:t>
      </w:r>
      <w:r w:rsidR="00B306BC">
        <w:rPr>
          <w:color w:val="767171" w:themeColor="background2" w:themeShade="80"/>
        </w:rPr>
        <w:t>2a</w:t>
      </w:r>
      <w:r>
        <w:rPr>
          <w:color w:val="767171" w:themeColor="background2" w:themeShade="80"/>
        </w:rPr>
        <w:t>.</w:t>
      </w:r>
      <w:r w:rsidRPr="002821FA">
        <w:rPr>
          <w:color w:val="767171" w:themeColor="background2" w:themeShade="80"/>
        </w:rPr>
        <w:t xml:space="preserve"> Throughput vs SNR (dB) for </w:t>
      </w:r>
      <w:r>
        <w:rPr>
          <w:color w:val="767171" w:themeColor="background2" w:themeShade="80"/>
        </w:rPr>
        <w:t>(a) and (b), for 256QAM</w:t>
      </w:r>
      <w:r w:rsidR="00195FA4">
        <w:rPr>
          <w:color w:val="767171" w:themeColor="background2" w:themeShade="80"/>
        </w:rPr>
        <w:t>, BG1</w:t>
      </w:r>
      <w:r w:rsidR="00CE00D1">
        <w:rPr>
          <w:color w:val="767171" w:themeColor="background2" w:themeShade="80"/>
        </w:rPr>
        <w:t xml:space="preserve">. </w:t>
      </w:r>
      <w:bookmarkStart w:id="3" w:name="_GoBack"/>
      <w:bookmarkEnd w:id="3"/>
    </w:p>
    <w:sectPr w:rsidR="002F3778" w:rsidSect="004D74F3">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4F8" w:rsidRDefault="005374F8">
      <w:pPr>
        <w:spacing w:after="0"/>
      </w:pPr>
      <w:r>
        <w:separator/>
      </w:r>
    </w:p>
  </w:endnote>
  <w:endnote w:type="continuationSeparator" w:id="0">
    <w:p w:rsidR="005374F8" w:rsidRDefault="005374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4F3" w:rsidRDefault="008475B0" w:rsidP="004D74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D74F3" w:rsidRDefault="005374F8" w:rsidP="004D74F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840227700"/>
      <w:docPartObj>
        <w:docPartGallery w:val="Page Numbers (Bottom of Page)"/>
        <w:docPartUnique/>
      </w:docPartObj>
    </w:sdtPr>
    <w:sdtEndPr>
      <w:rPr>
        <w:noProof/>
        <w:color w:val="7F7F7F" w:themeColor="background1" w:themeShade="7F"/>
        <w:spacing w:val="60"/>
      </w:rPr>
    </w:sdtEndPr>
    <w:sdtContent>
      <w:p w:rsidR="00526C98" w:rsidRDefault="00526C98">
        <w:pPr>
          <w:pStyle w:val="Footer"/>
          <w:pBdr>
            <w:top w:val="single" w:sz="4" w:space="1" w:color="D9D9D9" w:themeColor="background1" w:themeShade="D9"/>
          </w:pBdr>
          <w:jc w:val="right"/>
        </w:pPr>
        <w:r>
          <w:rPr>
            <w:noProof w:val="0"/>
          </w:rPr>
          <w:fldChar w:fldCharType="begin"/>
        </w:r>
        <w:r>
          <w:instrText xml:space="preserve"> PAGE   \* MERGEFORMAT </w:instrText>
        </w:r>
        <w:r>
          <w:rPr>
            <w:noProof w:val="0"/>
          </w:rPr>
          <w:fldChar w:fldCharType="separate"/>
        </w:r>
        <w:r w:rsidR="00A84E42">
          <w:t>6</w:t>
        </w:r>
        <w:r>
          <w:fldChar w:fldCharType="end"/>
        </w:r>
        <w:r>
          <w:t xml:space="preserve"> | </w:t>
        </w:r>
        <w:r>
          <w:rPr>
            <w:color w:val="7F7F7F" w:themeColor="background1" w:themeShade="7F"/>
            <w:spacing w:val="60"/>
          </w:rPr>
          <w:t>Page</w:t>
        </w:r>
      </w:p>
    </w:sdtContent>
  </w:sdt>
  <w:p w:rsidR="004D74F3" w:rsidRDefault="005374F8" w:rsidP="004D74F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4F8" w:rsidRDefault="005374F8">
      <w:pPr>
        <w:spacing w:after="0"/>
      </w:pPr>
      <w:r>
        <w:separator/>
      </w:r>
    </w:p>
  </w:footnote>
  <w:footnote w:type="continuationSeparator" w:id="0">
    <w:p w:rsidR="005374F8" w:rsidRDefault="005374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4F3" w:rsidRDefault="008475B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7015D"/>
    <w:multiLevelType w:val="hybridMultilevel"/>
    <w:tmpl w:val="E09433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2B3586A"/>
    <w:multiLevelType w:val="hybridMultilevel"/>
    <w:tmpl w:val="4934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49D7E6A"/>
    <w:multiLevelType w:val="hybridMultilevel"/>
    <w:tmpl w:val="038C5308"/>
    <w:lvl w:ilvl="0" w:tplc="02F25E9C">
      <w:start w:val="1"/>
      <w:numFmt w:val="lowerLetter"/>
      <w:lvlText w:val="(%1)"/>
      <w:lvlJc w:val="left"/>
      <w:pPr>
        <w:ind w:left="450" w:hanging="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DD7E6B"/>
    <w:multiLevelType w:val="hybridMultilevel"/>
    <w:tmpl w:val="2EA84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BF3E3D"/>
    <w:multiLevelType w:val="hybridMultilevel"/>
    <w:tmpl w:val="BDD8B2D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0" w15:restartNumberingAfterBreak="0">
    <w:nsid w:val="588401BC"/>
    <w:multiLevelType w:val="hybridMultilevel"/>
    <w:tmpl w:val="BBA43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264D32"/>
    <w:multiLevelType w:val="hybridMultilevel"/>
    <w:tmpl w:val="E4005E70"/>
    <w:lvl w:ilvl="0" w:tplc="0409000B">
      <w:start w:val="1"/>
      <w:numFmt w:val="bullet"/>
      <w:lvlText w:val=""/>
      <w:lvlJc w:val="left"/>
      <w:pPr>
        <w:ind w:left="420" w:hanging="420"/>
      </w:pPr>
      <w:rPr>
        <w:rFonts w:ascii="Wingdings" w:hAnsi="Wingdings" w:hint="default"/>
      </w:rPr>
    </w:lvl>
    <w:lvl w:ilvl="1" w:tplc="1B9EF42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4"/>
  </w:num>
  <w:num w:numId="4">
    <w:abstractNumId w:val="5"/>
  </w:num>
  <w:num w:numId="5">
    <w:abstractNumId w:val="3"/>
  </w:num>
  <w:num w:numId="6">
    <w:abstractNumId w:val="0"/>
  </w:num>
  <w:num w:numId="7">
    <w:abstractNumId w:val="7"/>
  </w:num>
  <w:num w:numId="8">
    <w:abstractNumId w:val="6"/>
  </w:num>
  <w:num w:numId="9">
    <w:abstractNumId w:val="9"/>
  </w:num>
  <w:num w:numId="10">
    <w:abstractNumId w:val="2"/>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00"/>
  <w:drawingGridVerticalSpacing w:val="136"/>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5B0"/>
    <w:rsid w:val="00005FA1"/>
    <w:rsid w:val="00010CA4"/>
    <w:rsid w:val="00036973"/>
    <w:rsid w:val="00062F19"/>
    <w:rsid w:val="000C0E66"/>
    <w:rsid w:val="00127167"/>
    <w:rsid w:val="001404F4"/>
    <w:rsid w:val="00161A9E"/>
    <w:rsid w:val="00192030"/>
    <w:rsid w:val="00195FA4"/>
    <w:rsid w:val="001E63B3"/>
    <w:rsid w:val="001E77F7"/>
    <w:rsid w:val="00227296"/>
    <w:rsid w:val="00251B4F"/>
    <w:rsid w:val="002821FA"/>
    <w:rsid w:val="002A18C0"/>
    <w:rsid w:val="002E3CCB"/>
    <w:rsid w:val="002E4504"/>
    <w:rsid w:val="002F3778"/>
    <w:rsid w:val="0035301E"/>
    <w:rsid w:val="0037503A"/>
    <w:rsid w:val="00377824"/>
    <w:rsid w:val="003D3200"/>
    <w:rsid w:val="004163FE"/>
    <w:rsid w:val="00442980"/>
    <w:rsid w:val="00445F4F"/>
    <w:rsid w:val="00453755"/>
    <w:rsid w:val="004622FB"/>
    <w:rsid w:val="00493E30"/>
    <w:rsid w:val="004A0B3C"/>
    <w:rsid w:val="004F500D"/>
    <w:rsid w:val="004F5D82"/>
    <w:rsid w:val="0050025F"/>
    <w:rsid w:val="00515CD8"/>
    <w:rsid w:val="00525DCA"/>
    <w:rsid w:val="00526C98"/>
    <w:rsid w:val="005374F8"/>
    <w:rsid w:val="00540071"/>
    <w:rsid w:val="005520B7"/>
    <w:rsid w:val="00582F1C"/>
    <w:rsid w:val="0058353E"/>
    <w:rsid w:val="005B1830"/>
    <w:rsid w:val="005B5CA1"/>
    <w:rsid w:val="005C301F"/>
    <w:rsid w:val="005F6F0B"/>
    <w:rsid w:val="00620395"/>
    <w:rsid w:val="006219E0"/>
    <w:rsid w:val="00622561"/>
    <w:rsid w:val="006400AD"/>
    <w:rsid w:val="006D2A90"/>
    <w:rsid w:val="006E5F78"/>
    <w:rsid w:val="00717CCD"/>
    <w:rsid w:val="007361D0"/>
    <w:rsid w:val="00741B72"/>
    <w:rsid w:val="007450DB"/>
    <w:rsid w:val="00756137"/>
    <w:rsid w:val="007965AC"/>
    <w:rsid w:val="007A2176"/>
    <w:rsid w:val="007C14D3"/>
    <w:rsid w:val="007C65A7"/>
    <w:rsid w:val="007D4FF9"/>
    <w:rsid w:val="007E1512"/>
    <w:rsid w:val="007E64B3"/>
    <w:rsid w:val="00804CD4"/>
    <w:rsid w:val="00807FDA"/>
    <w:rsid w:val="00836958"/>
    <w:rsid w:val="008475B0"/>
    <w:rsid w:val="008609E5"/>
    <w:rsid w:val="008B1631"/>
    <w:rsid w:val="008D61EA"/>
    <w:rsid w:val="008F26D9"/>
    <w:rsid w:val="009154BF"/>
    <w:rsid w:val="009335A8"/>
    <w:rsid w:val="00954E1F"/>
    <w:rsid w:val="009670D8"/>
    <w:rsid w:val="00970553"/>
    <w:rsid w:val="00985412"/>
    <w:rsid w:val="0098604B"/>
    <w:rsid w:val="009A3A74"/>
    <w:rsid w:val="009C00E8"/>
    <w:rsid w:val="009F0E61"/>
    <w:rsid w:val="00A15975"/>
    <w:rsid w:val="00A533FC"/>
    <w:rsid w:val="00A64326"/>
    <w:rsid w:val="00A7623C"/>
    <w:rsid w:val="00A84E42"/>
    <w:rsid w:val="00AD1F7D"/>
    <w:rsid w:val="00B1177F"/>
    <w:rsid w:val="00B306BC"/>
    <w:rsid w:val="00B4263A"/>
    <w:rsid w:val="00B635F5"/>
    <w:rsid w:val="00BA6490"/>
    <w:rsid w:val="00BA6BFF"/>
    <w:rsid w:val="00BC322D"/>
    <w:rsid w:val="00C70598"/>
    <w:rsid w:val="00C81BA2"/>
    <w:rsid w:val="00CA4994"/>
    <w:rsid w:val="00CC0E0E"/>
    <w:rsid w:val="00CE00D1"/>
    <w:rsid w:val="00CE3B5B"/>
    <w:rsid w:val="00CF1D54"/>
    <w:rsid w:val="00D0536D"/>
    <w:rsid w:val="00D4390D"/>
    <w:rsid w:val="00D52349"/>
    <w:rsid w:val="00DB58DA"/>
    <w:rsid w:val="00DC78C9"/>
    <w:rsid w:val="00DD0EA7"/>
    <w:rsid w:val="00E50BC7"/>
    <w:rsid w:val="00E67546"/>
    <w:rsid w:val="00E719BE"/>
    <w:rsid w:val="00E842CE"/>
    <w:rsid w:val="00EE4B30"/>
    <w:rsid w:val="00F01ABB"/>
    <w:rsid w:val="00F479BF"/>
    <w:rsid w:val="00F546BE"/>
    <w:rsid w:val="00F768DB"/>
    <w:rsid w:val="00F92988"/>
    <w:rsid w:val="00FB7E7C"/>
    <w:rsid w:val="00FC5427"/>
    <w:rsid w:val="00FF35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C7BC9A-783F-4639-AFD8-69E3A21A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5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8475B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5">
    <w:name w:val="heading 5"/>
    <w:basedOn w:val="Normal"/>
    <w:next w:val="Normal"/>
    <w:link w:val="Heading5Char"/>
    <w:uiPriority w:val="9"/>
    <w:semiHidden/>
    <w:unhideWhenUsed/>
    <w:qFormat/>
    <w:rsid w:val="007E151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475B0"/>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uiPriority w:val="99"/>
    <w:rsid w:val="008475B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8475B0"/>
    <w:rPr>
      <w:rFonts w:ascii="Arial" w:eastAsia="SimSun" w:hAnsi="Arial" w:cs="Times New Roman"/>
      <w:b/>
      <w:i/>
      <w:noProof/>
      <w:sz w:val="18"/>
      <w:szCs w:val="20"/>
    </w:rPr>
  </w:style>
  <w:style w:type="character" w:styleId="PageNumber">
    <w:name w:val="page number"/>
    <w:basedOn w:val="DefaultParagraphFont"/>
    <w:rsid w:val="008475B0"/>
  </w:style>
  <w:style w:type="character" w:customStyle="1" w:styleId="Heading1Char1">
    <w:name w:val="Heading 1 Char1"/>
    <w:link w:val="Heading1"/>
    <w:rsid w:val="008475B0"/>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8475B0"/>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qFormat/>
    <w:locked/>
    <w:rsid w:val="008475B0"/>
    <w:rPr>
      <w:rFonts w:ascii="Calibri" w:eastAsia="Calibri" w:hAnsi="Calibri" w:cs="Times New Roman"/>
    </w:rPr>
  </w:style>
  <w:style w:type="paragraph" w:styleId="Header">
    <w:name w:val="header"/>
    <w:basedOn w:val="Normal"/>
    <w:link w:val="HeaderChar"/>
    <w:uiPriority w:val="99"/>
    <w:unhideWhenUsed/>
    <w:rsid w:val="008475B0"/>
    <w:pPr>
      <w:tabs>
        <w:tab w:val="center" w:pos="4680"/>
        <w:tab w:val="right" w:pos="9360"/>
      </w:tabs>
      <w:spacing w:after="0"/>
    </w:pPr>
  </w:style>
  <w:style w:type="character" w:customStyle="1" w:styleId="HeaderChar">
    <w:name w:val="Header Char"/>
    <w:basedOn w:val="DefaultParagraphFont"/>
    <w:link w:val="Header"/>
    <w:uiPriority w:val="99"/>
    <w:rsid w:val="008475B0"/>
    <w:rPr>
      <w:rFonts w:ascii="Times New Roman" w:eastAsia="SimSun" w:hAnsi="Times New Roman" w:cs="Times New Roman"/>
      <w:sz w:val="20"/>
      <w:szCs w:val="20"/>
    </w:rPr>
  </w:style>
  <w:style w:type="character" w:styleId="Hyperlink">
    <w:name w:val="Hyperlink"/>
    <w:uiPriority w:val="99"/>
    <w:rsid w:val="00807FDA"/>
    <w:rPr>
      <w:color w:val="0000FF"/>
      <w:u w:val="single"/>
    </w:rPr>
  </w:style>
  <w:style w:type="character" w:customStyle="1" w:styleId="Heading5Char">
    <w:name w:val="Heading 5 Char"/>
    <w:basedOn w:val="DefaultParagraphFont"/>
    <w:link w:val="Heading5"/>
    <w:uiPriority w:val="9"/>
    <w:semiHidden/>
    <w:rsid w:val="007E1512"/>
    <w:rPr>
      <w:rFonts w:asciiTheme="majorHAnsi" w:eastAsiaTheme="majorEastAsia" w:hAnsiTheme="majorHAnsi" w:cstheme="majorBidi"/>
      <w:color w:val="2E74B5" w:themeColor="accent1" w:themeShade="BF"/>
      <w:sz w:val="20"/>
      <w:szCs w:val="20"/>
    </w:rPr>
  </w:style>
  <w:style w:type="paragraph" w:styleId="BalloonText">
    <w:name w:val="Balloon Text"/>
    <w:basedOn w:val="Normal"/>
    <w:link w:val="BalloonTextChar"/>
    <w:uiPriority w:val="99"/>
    <w:semiHidden/>
    <w:unhideWhenUsed/>
    <w:rsid w:val="00DC78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78C9"/>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7398">
      <w:bodyDiv w:val="1"/>
      <w:marLeft w:val="0"/>
      <w:marRight w:val="0"/>
      <w:marTop w:val="0"/>
      <w:marBottom w:val="0"/>
      <w:divBdr>
        <w:top w:val="none" w:sz="0" w:space="0" w:color="auto"/>
        <w:left w:val="none" w:sz="0" w:space="0" w:color="auto"/>
        <w:bottom w:val="none" w:sz="0" w:space="0" w:color="auto"/>
        <w:right w:val="none" w:sz="0" w:space="0" w:color="auto"/>
      </w:divBdr>
    </w:div>
    <w:div w:id="109401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matthew\3GPP\RAN1\ALU\Meeting90%20Prague\tdocs\R1-1713462.zip" TargetMode="Externa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1930</Words>
  <Characters>9707</Characters>
  <Application>Microsoft Office Word</Application>
  <DocSecurity>0</DocSecurity>
  <Lines>141</Lines>
  <Paragraphs>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CTPClassification=CTP_PUBLIC:VisualMarkings=</cp:keywords>
  <dc:description/>
  <cp:lastModifiedBy>Hamidi-sepehr, Fatemeh</cp:lastModifiedBy>
  <cp:revision>8</cp:revision>
  <dcterms:created xsi:type="dcterms:W3CDTF">2017-09-12T00:20:00Z</dcterms:created>
  <dcterms:modified xsi:type="dcterms:W3CDTF">2017-09-12T02:30:00Z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6fc4787a-07de-4e9f-ba57-d78da80cb00b</vt:lpwstr>
  </property>
  <property fmtid="{D5CDD505-2E9C-101B-9397-08002B2CF9AE}" pid="3" name="CTP_TimeStamp">
    <vt:lpwstr>2017-09-12 02:30:05Z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